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166" w:rsidRDefault="00B60166" w:rsidP="00B60166">
      <w:pPr>
        <w:pStyle w:val="KeinLeerraum"/>
        <w:spacing w:line="360" w:lineRule="auto"/>
        <w:jc w:val="both"/>
        <w:rPr>
          <w:rFonts w:ascii="Times New Roman" w:hAnsi="Times New Roman" w:cs="Times New Roman"/>
          <w:i/>
          <w:sz w:val="24"/>
          <w:szCs w:val="24"/>
        </w:rPr>
      </w:pPr>
      <w:r w:rsidRPr="00ED3FF9">
        <w:rPr>
          <w:rFonts w:ascii="Times New Roman" w:hAnsi="Times New Roman" w:cs="Times New Roman"/>
          <w:i/>
          <w:sz w:val="24"/>
          <w:szCs w:val="24"/>
        </w:rPr>
        <w:t>Soziopod</w:t>
      </w:r>
      <w:r>
        <w:rPr>
          <w:rFonts w:ascii="Times New Roman" w:hAnsi="Times New Roman" w:cs="Times New Roman"/>
          <w:i/>
          <w:sz w:val="24"/>
          <w:szCs w:val="24"/>
        </w:rPr>
        <w:t>-Abstract</w:t>
      </w:r>
    </w:p>
    <w:p w:rsidR="00B60166" w:rsidRDefault="00B60166" w:rsidP="00F10AE7">
      <w:pPr>
        <w:spacing w:line="360" w:lineRule="auto"/>
        <w:jc w:val="both"/>
        <w:rPr>
          <w:rFonts w:eastAsia="Arial" w:cs="Arial"/>
          <w:b/>
        </w:rPr>
      </w:pPr>
    </w:p>
    <w:p w:rsidR="00B60166" w:rsidRPr="00B60166" w:rsidRDefault="00B60166" w:rsidP="00F10AE7">
      <w:pPr>
        <w:spacing w:line="360" w:lineRule="auto"/>
        <w:jc w:val="both"/>
        <w:rPr>
          <w:rFonts w:eastAsia="Arial" w:cs="Arial"/>
          <w:b/>
        </w:rPr>
      </w:pPr>
      <w:r w:rsidRPr="00B60166">
        <w:rPr>
          <w:rFonts w:eastAsia="Arial" w:cs="Arial"/>
          <w:b/>
        </w:rPr>
        <w:t>Die Theorie des Lebenszyklus</w:t>
      </w:r>
      <w:r>
        <w:rPr>
          <w:rFonts w:eastAsia="Arial" w:cs="Arial"/>
          <w:b/>
        </w:rPr>
        <w:t xml:space="preserve"> von</w:t>
      </w:r>
      <w:r w:rsidRPr="00B60166">
        <w:rPr>
          <w:rFonts w:eastAsia="Arial" w:cs="Arial"/>
          <w:b/>
        </w:rPr>
        <w:t xml:space="preserve"> Erik Erikson</w:t>
      </w:r>
    </w:p>
    <w:p w:rsidR="00B60166" w:rsidRDefault="00B60166" w:rsidP="00F10AE7">
      <w:pPr>
        <w:spacing w:line="360" w:lineRule="auto"/>
        <w:jc w:val="both"/>
        <w:rPr>
          <w:rFonts w:eastAsia="Arial" w:cs="Arial"/>
        </w:rPr>
      </w:pPr>
    </w:p>
    <w:p w:rsidR="00F10AE7" w:rsidRDefault="00F10AE7" w:rsidP="00F10AE7">
      <w:pPr>
        <w:spacing w:line="360" w:lineRule="auto"/>
        <w:jc w:val="both"/>
        <w:rPr>
          <w:rFonts w:eastAsia="Arial" w:cs="Arial"/>
        </w:rPr>
      </w:pPr>
      <w:r>
        <w:rPr>
          <w:rFonts w:eastAsia="Arial" w:cs="Arial"/>
        </w:rPr>
        <w:t xml:space="preserve">Als psychoanalytisch orientierter Entwicklungspsychologe geht </w:t>
      </w:r>
      <w:r w:rsidR="00B60166">
        <w:rPr>
          <w:rFonts w:eastAsia="Arial" w:cs="Arial"/>
        </w:rPr>
        <w:t>Erik Erikson (</w:t>
      </w:r>
      <w:r w:rsidR="00B60166" w:rsidRPr="00B60166">
        <w:rPr>
          <w:rFonts w:eastAsia="Arial" w:cs="Arial"/>
        </w:rPr>
        <w:t>1902-1992</w:t>
      </w:r>
      <w:r w:rsidR="00B60166">
        <w:rPr>
          <w:rFonts w:eastAsia="Arial" w:cs="Arial"/>
        </w:rPr>
        <w:t xml:space="preserve">) </w:t>
      </w:r>
      <w:r>
        <w:rPr>
          <w:rFonts w:eastAsia="Arial" w:cs="Arial"/>
        </w:rPr>
        <w:t>ähnlich wie Sigmund Freud davon aus, dass die Entwicklung des Selbst stark von den Erfahrungen einer Person mit seinen familialen Bezugspersonen beeinflusst wird. Jedoch erweitert Erikson diese Auffassung, indem er zusätzlich diejenigen Auseinandersetzungen und Beziehungsformen analysiert, die nach der Kindheit im Jugend- und Erwachsenenalter erfolgen. Durch diese umfassende Betrachtung des menschlichen Lebenslaufes gelangt er zu einer integrativen Entwicklungstheorie, die er den ‚Lebensz</w:t>
      </w:r>
      <w:r w:rsidR="00024C9B">
        <w:rPr>
          <w:rFonts w:eastAsia="Arial" w:cs="Arial"/>
        </w:rPr>
        <w:t>yklus‘ nennt. Erikson erkennt</w:t>
      </w:r>
      <w:r>
        <w:rPr>
          <w:rFonts w:eastAsia="Arial" w:cs="Arial"/>
        </w:rPr>
        <w:t xml:space="preserve">, dass der Lebenslauf eines Menschen von Phasen geprägt ist, in denen spezifische Lernaufgaben vom Individuum gelöst werden müssen. Bei einer erfolgreichen Bewältigung der jeweiligen Entwicklungsaufgabe wird die Basis für den nächsten Lebensschritt gelegt. Dieses psychosoziale ‚epigenetische Wachstum‘ läuft ebenso wie biologische Reifungsprozesse nicht zufällig, sondern nach identifizierbaren Gesetzmäßigkeiten ab: Die Bearbeitung einer altersspezifischen Lernaufgabe folgt einer bipolaren Struktur, in der das Individuum die jeweilige Herausforderung positiv beantworten kann, oder aber an ihr zu scheitern droht. Ein gelungenes Durchlaufen einer Phase des Lebenszyklus führt zu einer qualitativen Transformation der Persönlichkeitsstruktur, die ein positives Selbstverhältnis einer Person auf einer reiferen Lebensebene etabliert. Das Scheitern an einer Lernaufgabe beeinträchtigt hingegen die Persönlichkeitsentwicklung und hinterlässt psychische Defizite. Vor diesem Hintergrund gelangt Erikson zu einem Spektrum für psychosoziale Entwicklungsprozesse, die durch die idealtypischen Pole ‚Bewältigung‘ versus ‚Scheitern‘ bestimmt wird (Erikson 1992). </w:t>
      </w:r>
    </w:p>
    <w:p w:rsidR="00F10AE7" w:rsidRDefault="00F10AE7" w:rsidP="00F10AE7">
      <w:pPr>
        <w:spacing w:line="360" w:lineRule="auto"/>
        <w:jc w:val="both"/>
        <w:rPr>
          <w:rFonts w:eastAsia="Arial" w:cs="Arial"/>
        </w:rPr>
      </w:pPr>
      <w:r>
        <w:rPr>
          <w:rFonts w:eastAsia="Arial" w:cs="Arial"/>
        </w:rPr>
        <w:t>Erikson</w:t>
      </w:r>
      <w:r w:rsidR="00024C9B">
        <w:rPr>
          <w:rFonts w:eastAsia="Arial" w:cs="Arial"/>
        </w:rPr>
        <w:t xml:space="preserve"> beschreibt</w:t>
      </w:r>
      <w:r>
        <w:rPr>
          <w:rFonts w:eastAsia="Arial" w:cs="Arial"/>
        </w:rPr>
        <w:t xml:space="preserve"> den Lebenszyklus in acht aufeinanderfolgenden Stufe</w:t>
      </w:r>
      <w:r w:rsidR="00024C9B">
        <w:rPr>
          <w:rFonts w:eastAsia="Arial" w:cs="Arial"/>
        </w:rPr>
        <w:t xml:space="preserve">n </w:t>
      </w:r>
      <w:r>
        <w:t>(</w:t>
      </w:r>
      <w:r w:rsidRPr="005A7819">
        <w:rPr>
          <w:rFonts w:eastAsia="Arial" w:cs="Arial"/>
        </w:rPr>
        <w:t>Grom 2000: 41</w:t>
      </w:r>
      <w:r>
        <w:rPr>
          <w:rFonts w:eastAsia="Arial" w:cs="Arial"/>
        </w:rPr>
        <w:t xml:space="preserve">): </w:t>
      </w:r>
    </w:p>
    <w:p w:rsidR="00F10AE7" w:rsidRDefault="00F10AE7" w:rsidP="00F10AE7">
      <w:pPr>
        <w:jc w:val="both"/>
        <w:rPr>
          <w:rFonts w:eastAsia="Arial" w:cs="Arial"/>
        </w:rPr>
      </w:pPr>
    </w:p>
    <w:tbl>
      <w:tblPr>
        <w:tblStyle w:val="HelleSchattierung-Akzent12"/>
        <w:tblW w:w="0" w:type="auto"/>
        <w:tblLook w:val="04A0"/>
      </w:tblPr>
      <w:tblGrid>
        <w:gridCol w:w="4606"/>
        <w:gridCol w:w="4606"/>
      </w:tblGrid>
      <w:tr w:rsidR="00F10AE7" w:rsidRPr="00F91885" w:rsidTr="007A5191">
        <w:trPr>
          <w:cnfStyle w:val="100000000000"/>
        </w:trPr>
        <w:tc>
          <w:tcPr>
            <w:cnfStyle w:val="001000000000"/>
            <w:tcW w:w="4606" w:type="dxa"/>
            <w:tcBorders>
              <w:top w:val="single" w:sz="4" w:space="0" w:color="auto"/>
              <w:left w:val="single" w:sz="4" w:space="0" w:color="auto"/>
            </w:tcBorders>
          </w:tcPr>
          <w:p w:rsidR="00F10AE7" w:rsidRPr="00F91885" w:rsidRDefault="00F10AE7" w:rsidP="007A5191">
            <w:pPr>
              <w:spacing w:line="480" w:lineRule="auto"/>
              <w:rPr>
                <w:rFonts w:eastAsia="Arial" w:cs="Arial"/>
              </w:rPr>
            </w:pPr>
            <w:r w:rsidRPr="00F91885">
              <w:rPr>
                <w:rFonts w:eastAsia="Arial" w:cs="Arial"/>
              </w:rPr>
              <w:t>Lebensphase</w:t>
            </w:r>
          </w:p>
        </w:tc>
        <w:tc>
          <w:tcPr>
            <w:tcW w:w="4606" w:type="dxa"/>
            <w:tcBorders>
              <w:top w:val="single" w:sz="4" w:space="0" w:color="auto"/>
              <w:right w:val="single" w:sz="4" w:space="0" w:color="auto"/>
            </w:tcBorders>
          </w:tcPr>
          <w:p w:rsidR="00F10AE7" w:rsidRPr="00F91885" w:rsidRDefault="00F10AE7" w:rsidP="007A5191">
            <w:pPr>
              <w:spacing w:line="480" w:lineRule="auto"/>
              <w:cnfStyle w:val="100000000000"/>
              <w:rPr>
                <w:rFonts w:eastAsia="Arial" w:cs="Arial"/>
              </w:rPr>
            </w:pPr>
            <w:r w:rsidRPr="00F91885">
              <w:rPr>
                <w:rFonts w:eastAsia="Arial" w:cs="Arial"/>
              </w:rPr>
              <w:t>Entwicklungs- und Lernaufgabe</w:t>
            </w:r>
          </w:p>
        </w:tc>
      </w:tr>
      <w:tr w:rsidR="00F10AE7" w:rsidRPr="00F91885" w:rsidTr="007A5191">
        <w:trPr>
          <w:cnfStyle w:val="000000100000"/>
        </w:trPr>
        <w:tc>
          <w:tcPr>
            <w:cnfStyle w:val="001000000000"/>
            <w:tcW w:w="4606" w:type="dxa"/>
            <w:tcBorders>
              <w:left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t>Säuglingsalter</w:t>
            </w:r>
          </w:p>
        </w:tc>
        <w:tc>
          <w:tcPr>
            <w:tcW w:w="4606" w:type="dxa"/>
            <w:tcBorders>
              <w:right w:val="single" w:sz="4" w:space="0" w:color="auto"/>
            </w:tcBorders>
          </w:tcPr>
          <w:p w:rsidR="00F10AE7" w:rsidRPr="00F91885" w:rsidRDefault="00F10AE7" w:rsidP="007A5191">
            <w:pPr>
              <w:spacing w:line="480" w:lineRule="auto"/>
              <w:cnfStyle w:val="000000100000"/>
              <w:rPr>
                <w:rFonts w:eastAsia="Arial" w:cs="Arial"/>
              </w:rPr>
            </w:pPr>
            <w:r w:rsidRPr="00F91885">
              <w:rPr>
                <w:rFonts w:eastAsia="Arial" w:cs="Arial"/>
              </w:rPr>
              <w:t>Urvertrauen versus Misstrauen</w:t>
            </w:r>
          </w:p>
        </w:tc>
      </w:tr>
      <w:tr w:rsidR="00F10AE7" w:rsidRPr="00F91885" w:rsidTr="007A5191">
        <w:tc>
          <w:tcPr>
            <w:cnfStyle w:val="001000000000"/>
            <w:tcW w:w="4606" w:type="dxa"/>
            <w:tcBorders>
              <w:left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t>Frühe Kindheit</w:t>
            </w:r>
          </w:p>
        </w:tc>
        <w:tc>
          <w:tcPr>
            <w:tcW w:w="4606" w:type="dxa"/>
            <w:tcBorders>
              <w:right w:val="single" w:sz="4" w:space="0" w:color="auto"/>
            </w:tcBorders>
          </w:tcPr>
          <w:p w:rsidR="00F10AE7" w:rsidRPr="00F91885" w:rsidRDefault="00F10AE7" w:rsidP="007A5191">
            <w:pPr>
              <w:spacing w:line="480" w:lineRule="auto"/>
              <w:cnfStyle w:val="000000000000"/>
              <w:rPr>
                <w:rFonts w:eastAsia="Arial" w:cs="Arial"/>
              </w:rPr>
            </w:pPr>
            <w:r w:rsidRPr="00F91885">
              <w:rPr>
                <w:rFonts w:eastAsia="Arial" w:cs="Arial"/>
              </w:rPr>
              <w:t>Autonomie versus Scham und Zweifel</w:t>
            </w:r>
          </w:p>
        </w:tc>
      </w:tr>
      <w:tr w:rsidR="00F10AE7" w:rsidRPr="00F91885" w:rsidTr="007A5191">
        <w:trPr>
          <w:cnfStyle w:val="000000100000"/>
        </w:trPr>
        <w:tc>
          <w:tcPr>
            <w:cnfStyle w:val="001000000000"/>
            <w:tcW w:w="4606" w:type="dxa"/>
            <w:tcBorders>
              <w:left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t>Spielalter</w:t>
            </w:r>
          </w:p>
        </w:tc>
        <w:tc>
          <w:tcPr>
            <w:tcW w:w="4606" w:type="dxa"/>
            <w:tcBorders>
              <w:right w:val="single" w:sz="4" w:space="0" w:color="auto"/>
            </w:tcBorders>
          </w:tcPr>
          <w:p w:rsidR="00F10AE7" w:rsidRPr="00F91885" w:rsidRDefault="00F10AE7" w:rsidP="007A5191">
            <w:pPr>
              <w:spacing w:line="480" w:lineRule="auto"/>
              <w:cnfStyle w:val="000000100000"/>
              <w:rPr>
                <w:rFonts w:eastAsia="Arial" w:cs="Arial"/>
              </w:rPr>
            </w:pPr>
            <w:r w:rsidRPr="00F91885">
              <w:rPr>
                <w:rFonts w:eastAsia="Arial" w:cs="Arial"/>
              </w:rPr>
              <w:t>Initiative versus Schuldgefühl</w:t>
            </w:r>
          </w:p>
        </w:tc>
      </w:tr>
      <w:tr w:rsidR="00F10AE7" w:rsidRPr="00F91885" w:rsidTr="007A5191">
        <w:tc>
          <w:tcPr>
            <w:cnfStyle w:val="001000000000"/>
            <w:tcW w:w="4606" w:type="dxa"/>
            <w:tcBorders>
              <w:left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t>Schulalter</w:t>
            </w:r>
          </w:p>
        </w:tc>
        <w:tc>
          <w:tcPr>
            <w:tcW w:w="4606" w:type="dxa"/>
            <w:tcBorders>
              <w:right w:val="single" w:sz="4" w:space="0" w:color="auto"/>
            </w:tcBorders>
          </w:tcPr>
          <w:p w:rsidR="00F10AE7" w:rsidRPr="00F91885" w:rsidRDefault="00F10AE7" w:rsidP="007A5191">
            <w:pPr>
              <w:spacing w:line="480" w:lineRule="auto"/>
              <w:cnfStyle w:val="000000000000"/>
              <w:rPr>
                <w:rFonts w:eastAsia="Arial" w:cs="Arial"/>
              </w:rPr>
            </w:pPr>
            <w:r w:rsidRPr="00F91885">
              <w:rPr>
                <w:rFonts w:eastAsia="Arial" w:cs="Arial"/>
              </w:rPr>
              <w:t>Werksinn versus Minderwertigkeit</w:t>
            </w:r>
          </w:p>
        </w:tc>
      </w:tr>
      <w:tr w:rsidR="00F10AE7" w:rsidRPr="00F91885" w:rsidTr="007A5191">
        <w:trPr>
          <w:cnfStyle w:val="000000100000"/>
        </w:trPr>
        <w:tc>
          <w:tcPr>
            <w:cnfStyle w:val="001000000000"/>
            <w:tcW w:w="4606" w:type="dxa"/>
            <w:tcBorders>
              <w:left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t>Adoleszenz</w:t>
            </w:r>
          </w:p>
        </w:tc>
        <w:tc>
          <w:tcPr>
            <w:tcW w:w="4606" w:type="dxa"/>
            <w:tcBorders>
              <w:right w:val="single" w:sz="4" w:space="0" w:color="auto"/>
            </w:tcBorders>
          </w:tcPr>
          <w:p w:rsidR="00F10AE7" w:rsidRPr="00F91885" w:rsidRDefault="00F10AE7" w:rsidP="007A5191">
            <w:pPr>
              <w:spacing w:line="480" w:lineRule="auto"/>
              <w:cnfStyle w:val="000000100000"/>
              <w:rPr>
                <w:rFonts w:eastAsia="Arial" w:cs="Arial"/>
              </w:rPr>
            </w:pPr>
            <w:r w:rsidRPr="00F91885">
              <w:rPr>
                <w:rFonts w:eastAsia="Arial" w:cs="Arial"/>
              </w:rPr>
              <w:t>Identität versus Identitätsdiffusion</w:t>
            </w:r>
          </w:p>
        </w:tc>
      </w:tr>
      <w:tr w:rsidR="00F10AE7" w:rsidRPr="00F91885" w:rsidTr="007A5191">
        <w:tc>
          <w:tcPr>
            <w:cnfStyle w:val="001000000000"/>
            <w:tcW w:w="4606" w:type="dxa"/>
            <w:tcBorders>
              <w:left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lastRenderedPageBreak/>
              <w:t>Frühes Erwachsenenalter</w:t>
            </w:r>
          </w:p>
        </w:tc>
        <w:tc>
          <w:tcPr>
            <w:tcW w:w="4606" w:type="dxa"/>
            <w:tcBorders>
              <w:right w:val="single" w:sz="4" w:space="0" w:color="auto"/>
            </w:tcBorders>
          </w:tcPr>
          <w:p w:rsidR="00F10AE7" w:rsidRPr="00F91885" w:rsidRDefault="00F10AE7" w:rsidP="007A5191">
            <w:pPr>
              <w:spacing w:line="480" w:lineRule="auto"/>
              <w:cnfStyle w:val="000000000000"/>
              <w:rPr>
                <w:rFonts w:eastAsia="Arial" w:cs="Arial"/>
              </w:rPr>
            </w:pPr>
            <w:r w:rsidRPr="00F91885">
              <w:rPr>
                <w:rFonts w:eastAsia="Arial" w:cs="Arial"/>
              </w:rPr>
              <w:t>Intimität versus Isolierung</w:t>
            </w:r>
          </w:p>
        </w:tc>
      </w:tr>
      <w:tr w:rsidR="00F10AE7" w:rsidRPr="00F91885" w:rsidTr="007A5191">
        <w:trPr>
          <w:cnfStyle w:val="000000100000"/>
        </w:trPr>
        <w:tc>
          <w:tcPr>
            <w:cnfStyle w:val="001000000000"/>
            <w:tcW w:w="4606" w:type="dxa"/>
            <w:tcBorders>
              <w:left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t>Erwachsenenalter</w:t>
            </w:r>
          </w:p>
        </w:tc>
        <w:tc>
          <w:tcPr>
            <w:tcW w:w="4606" w:type="dxa"/>
            <w:tcBorders>
              <w:right w:val="single" w:sz="4" w:space="0" w:color="auto"/>
            </w:tcBorders>
          </w:tcPr>
          <w:p w:rsidR="00F10AE7" w:rsidRPr="00F91885" w:rsidRDefault="00F10AE7" w:rsidP="007A5191">
            <w:pPr>
              <w:spacing w:line="480" w:lineRule="auto"/>
              <w:cnfStyle w:val="000000100000"/>
              <w:rPr>
                <w:rFonts w:eastAsia="Arial" w:cs="Arial"/>
              </w:rPr>
            </w:pPr>
            <w:r w:rsidRPr="00F91885">
              <w:rPr>
                <w:rFonts w:eastAsia="Arial" w:cs="Arial"/>
              </w:rPr>
              <w:t>Generativität versus Stagnation</w:t>
            </w:r>
          </w:p>
        </w:tc>
      </w:tr>
      <w:tr w:rsidR="00F10AE7" w:rsidRPr="00F91885" w:rsidTr="007A5191">
        <w:tc>
          <w:tcPr>
            <w:cnfStyle w:val="001000000000"/>
            <w:tcW w:w="4606" w:type="dxa"/>
            <w:tcBorders>
              <w:left w:val="single" w:sz="4" w:space="0" w:color="auto"/>
              <w:bottom w:val="single" w:sz="4" w:space="0" w:color="auto"/>
            </w:tcBorders>
          </w:tcPr>
          <w:p w:rsidR="00F10AE7" w:rsidRPr="00F91885" w:rsidRDefault="00F10AE7" w:rsidP="007A5191">
            <w:pPr>
              <w:spacing w:line="480" w:lineRule="auto"/>
              <w:rPr>
                <w:rFonts w:eastAsia="Arial" w:cs="Arial"/>
                <w:b w:val="0"/>
              </w:rPr>
            </w:pPr>
            <w:r w:rsidRPr="00F91885">
              <w:rPr>
                <w:rFonts w:eastAsia="Arial" w:cs="Arial"/>
                <w:b w:val="0"/>
              </w:rPr>
              <w:t>Spätes Erwachsenenalter / Alter</w:t>
            </w:r>
          </w:p>
        </w:tc>
        <w:tc>
          <w:tcPr>
            <w:tcW w:w="4606" w:type="dxa"/>
            <w:tcBorders>
              <w:bottom w:val="single" w:sz="4" w:space="0" w:color="auto"/>
              <w:right w:val="single" w:sz="4" w:space="0" w:color="auto"/>
            </w:tcBorders>
          </w:tcPr>
          <w:p w:rsidR="00F10AE7" w:rsidRPr="00F91885" w:rsidRDefault="00F10AE7" w:rsidP="007A5191">
            <w:pPr>
              <w:spacing w:line="480" w:lineRule="auto"/>
              <w:cnfStyle w:val="000000000000"/>
              <w:rPr>
                <w:rFonts w:eastAsia="Arial" w:cs="Arial"/>
              </w:rPr>
            </w:pPr>
            <w:r w:rsidRPr="00F91885">
              <w:rPr>
                <w:rFonts w:eastAsia="Arial" w:cs="Arial"/>
              </w:rPr>
              <w:t>Integrität versus Verzweiflung</w:t>
            </w:r>
          </w:p>
        </w:tc>
      </w:tr>
    </w:tbl>
    <w:p w:rsidR="00F10AE7" w:rsidRPr="00CF514B" w:rsidRDefault="00F10AE7" w:rsidP="00F10AE7">
      <w:pPr>
        <w:jc w:val="both"/>
        <w:rPr>
          <w:rFonts w:eastAsia="Arial" w:cs="Arial"/>
        </w:rPr>
      </w:pPr>
    </w:p>
    <w:p w:rsidR="00024C9B" w:rsidRPr="00024C9B" w:rsidRDefault="00024C9B" w:rsidP="00F10AE7">
      <w:pPr>
        <w:spacing w:line="360" w:lineRule="auto"/>
        <w:jc w:val="both"/>
        <w:rPr>
          <w:rFonts w:eastAsia="Arial" w:cs="Arial"/>
          <w:u w:val="single"/>
        </w:rPr>
      </w:pPr>
      <w:r w:rsidRPr="00024C9B">
        <w:rPr>
          <w:rFonts w:eastAsia="Arial" w:cs="Arial"/>
          <w:u w:val="single"/>
        </w:rPr>
        <w:t>Das Säuglingsalter: Urvertrauen versus Misstrauen</w:t>
      </w:r>
    </w:p>
    <w:p w:rsidR="00F10AE7" w:rsidRDefault="00F10AE7" w:rsidP="00F10AE7">
      <w:pPr>
        <w:spacing w:line="360" w:lineRule="auto"/>
        <w:jc w:val="both"/>
        <w:rPr>
          <w:rFonts w:eastAsia="Arial" w:cs="Arial"/>
        </w:rPr>
      </w:pPr>
      <w:r>
        <w:rPr>
          <w:rFonts w:eastAsia="Arial" w:cs="Arial"/>
        </w:rPr>
        <w:t xml:space="preserve">Die </w:t>
      </w:r>
      <w:r w:rsidRPr="000971D2">
        <w:rPr>
          <w:rFonts w:eastAsia="Arial" w:cs="Arial"/>
        </w:rPr>
        <w:t>erste Lebensphase</w:t>
      </w:r>
      <w:r>
        <w:rPr>
          <w:rFonts w:eastAsia="Arial" w:cs="Arial"/>
        </w:rPr>
        <w:t xml:space="preserve"> ist geprägt von der Entwicklungsaufgabe des Kindes, ein ‚Urvertrauen‘ zu seinen primären Bezugspersonen aufzubauen. Wenn die Grundbedürfnisse des Kindes nach Nahrung, Pflege und liebevoller Zuwendung in diesen ersten Lebensjahren befriedigt werden, kann das Kind ein positives Bündnis mit der Umwelt eingehen, das in ein ebenso positives erstes Verhältnis zur eigenen Person mündet: „Zuverlässigkeit und Beständigkeit bereiten das spätere Gefühl des Kindes vor, dass man ‚in Ordnung ist‘, dass man ein Selbst besitzt, das das Vertrauen der Umwelt rechtfertigt“ (Fend 2000: 404). Werden die primären Beziehungen, die das Kind sucht, hingegen durch emotionale Kälte und mangelnde Fürsorge gestört, entwickelt das Kind ein grundlegendes Misstrauen gegenüber seinen Bezugspersonen, das sich auch in einem frühen negativen</w:t>
      </w:r>
      <w:r w:rsidR="00024C9B">
        <w:rPr>
          <w:rFonts w:eastAsia="Arial" w:cs="Arial"/>
        </w:rPr>
        <w:t xml:space="preserve"> Selbstempfinden niederschlägt </w:t>
      </w:r>
      <w:r>
        <w:rPr>
          <w:rFonts w:eastAsia="Arial" w:cs="Arial"/>
        </w:rPr>
        <w:t xml:space="preserve">(Fend 2000). </w:t>
      </w:r>
    </w:p>
    <w:p w:rsidR="00024C9B" w:rsidRDefault="00024C9B" w:rsidP="00F10AE7">
      <w:pPr>
        <w:spacing w:line="360" w:lineRule="auto"/>
        <w:jc w:val="both"/>
        <w:rPr>
          <w:rFonts w:eastAsia="Arial" w:cs="Arial"/>
        </w:rPr>
      </w:pPr>
    </w:p>
    <w:p w:rsidR="00024C9B" w:rsidRPr="00024C9B" w:rsidRDefault="00024C9B" w:rsidP="00F10AE7">
      <w:pPr>
        <w:spacing w:line="360" w:lineRule="auto"/>
        <w:jc w:val="both"/>
        <w:rPr>
          <w:rFonts w:eastAsia="Arial" w:cs="Arial"/>
          <w:u w:val="single"/>
        </w:rPr>
      </w:pPr>
      <w:r w:rsidRPr="00024C9B">
        <w:rPr>
          <w:rFonts w:eastAsia="Arial" w:cs="Arial"/>
          <w:u w:val="single"/>
        </w:rPr>
        <w:t>Die frühe Kindheit: Autonomie versus Scham und Zweifel</w:t>
      </w:r>
    </w:p>
    <w:p w:rsidR="00F10AE7" w:rsidRDefault="00F10AE7" w:rsidP="00F10AE7">
      <w:pPr>
        <w:spacing w:line="360" w:lineRule="auto"/>
        <w:jc w:val="both"/>
        <w:rPr>
          <w:rFonts w:eastAsia="Arial" w:cs="Arial"/>
        </w:rPr>
      </w:pPr>
      <w:r>
        <w:rPr>
          <w:rFonts w:eastAsia="Arial" w:cs="Arial"/>
        </w:rPr>
        <w:t>Nach den ersten Bindungen reift im zweiten bis dritten Lebensjahr das kindliche Muskelsystem heran. Dies führt zu einer Erweiterung des Aktionsradius des Kindes und zu einer zunehmenden Erkundung und Beeinflussung der Umwelt: Das Kind kann greifen, festhalten und loslassen, es kann stehen, krabbeln und schließlich laufen. Wenn die Bezugspersonen diese Verhaltensweisen anerkennen und bestärken, gewinnt das Kind Autonomie als „hoffnungsvolle Eigenständigkeit“ (Fend 2000: 405). Wird das Kind hingegen häufig für sein Verhalten bestraft und übermäßig streng behandelt, entstehen Zweifel am eigenen Will</w:t>
      </w:r>
      <w:r w:rsidR="00024C9B">
        <w:rPr>
          <w:rFonts w:eastAsia="Arial" w:cs="Arial"/>
        </w:rPr>
        <w:t xml:space="preserve">en und den eigenen Fähigkeiten </w:t>
      </w:r>
      <w:r>
        <w:rPr>
          <w:rFonts w:eastAsia="Arial" w:cs="Arial"/>
        </w:rPr>
        <w:t xml:space="preserve">(Fend 2000). </w:t>
      </w:r>
    </w:p>
    <w:p w:rsidR="00024C9B" w:rsidRDefault="00024C9B" w:rsidP="00F10AE7">
      <w:pPr>
        <w:spacing w:line="360" w:lineRule="auto"/>
        <w:jc w:val="both"/>
        <w:rPr>
          <w:rFonts w:eastAsia="Arial" w:cs="Arial"/>
        </w:rPr>
      </w:pPr>
    </w:p>
    <w:p w:rsidR="00024C9B" w:rsidRPr="00024C9B" w:rsidRDefault="00024C9B" w:rsidP="00F10AE7">
      <w:pPr>
        <w:spacing w:line="360" w:lineRule="auto"/>
        <w:jc w:val="both"/>
        <w:rPr>
          <w:rFonts w:eastAsia="Arial" w:cs="Arial"/>
          <w:u w:val="single"/>
        </w:rPr>
      </w:pPr>
      <w:r w:rsidRPr="00024C9B">
        <w:rPr>
          <w:rFonts w:eastAsia="Arial" w:cs="Arial"/>
          <w:u w:val="single"/>
        </w:rPr>
        <w:t>Das Spiel- und Kindergartenalter: Initiative versus Schuldgefühl</w:t>
      </w:r>
    </w:p>
    <w:p w:rsidR="00F10AE7" w:rsidRDefault="00F10AE7" w:rsidP="00F10AE7">
      <w:pPr>
        <w:spacing w:line="360" w:lineRule="auto"/>
        <w:jc w:val="both"/>
        <w:rPr>
          <w:rFonts w:eastAsia="Arial" w:cs="Arial"/>
        </w:rPr>
      </w:pPr>
      <w:r>
        <w:rPr>
          <w:rFonts w:eastAsia="Arial" w:cs="Arial"/>
        </w:rPr>
        <w:t xml:space="preserve">Die dritte Lebensphase erreicht ein Kind im Alter von vier bis fünf Jahren. Durch die zunehmende Fähigkeit der Perspektiv- und Rollenübernahme entwickelt sich der Wunsch, Rollen und Positionen im sozialen Nahfeld auszuprobieren und phantasierend mitzugestalten. Entsprechend Freuds Bestimmung der ödipalen Phase sieht Erikson dieses Lebensalter als besonders sensibel an, da das Kind das Experimentieren mit Rollenvorstellungen unbewusst auch auf die Paarbeziehung seiner Eltern anwendet und hier durch die Erfahrung der sexuellen Exklusivität der Elterndyade eine generelle Beschränkung seiner Triebwünsche </w:t>
      </w:r>
      <w:r>
        <w:rPr>
          <w:rFonts w:eastAsia="Arial" w:cs="Arial"/>
        </w:rPr>
        <w:lastRenderedPageBreak/>
        <w:t>erfahren muss. Der elterliche Umgang mit der Errichtung dieses Tabus beeinflusst das Selbstbild des Kindes: Einfühlsames und wertschätzendes Verhalten seitens der Eltern stärken den gezielten Einsatz des eigenen Willens über die Kränkungen der ödipalen</w:t>
      </w:r>
      <w:r w:rsidR="00024C9B">
        <w:rPr>
          <w:rFonts w:eastAsia="Arial" w:cs="Arial"/>
        </w:rPr>
        <w:t xml:space="preserve"> Phase hinaus; </w:t>
      </w:r>
      <w:r>
        <w:rPr>
          <w:rFonts w:eastAsia="Arial" w:cs="Arial"/>
        </w:rPr>
        <w:t xml:space="preserve">Ablehnung und Strenge führen demgegenüber zu Selbstabwertungen und </w:t>
      </w:r>
      <w:r w:rsidR="00024C9B">
        <w:rPr>
          <w:rFonts w:eastAsia="Arial" w:cs="Arial"/>
        </w:rPr>
        <w:t>Selbstvorwürfen.</w:t>
      </w:r>
    </w:p>
    <w:p w:rsidR="00B60166" w:rsidRDefault="00B60166" w:rsidP="00F10AE7">
      <w:pPr>
        <w:spacing w:line="360" w:lineRule="auto"/>
        <w:jc w:val="both"/>
        <w:rPr>
          <w:rFonts w:eastAsia="Arial" w:cs="Arial"/>
          <w:u w:val="single"/>
        </w:rPr>
      </w:pPr>
    </w:p>
    <w:p w:rsidR="00024C9B" w:rsidRPr="00024C9B" w:rsidRDefault="00024C9B" w:rsidP="00F10AE7">
      <w:pPr>
        <w:spacing w:line="360" w:lineRule="auto"/>
        <w:jc w:val="both"/>
        <w:rPr>
          <w:rFonts w:eastAsia="Arial" w:cs="Arial"/>
          <w:u w:val="single"/>
        </w:rPr>
      </w:pPr>
      <w:r w:rsidRPr="00024C9B">
        <w:rPr>
          <w:rFonts w:eastAsia="Arial" w:cs="Arial"/>
          <w:u w:val="single"/>
        </w:rPr>
        <w:t xml:space="preserve">Das Grundschulalter: Werksinn versus Minderwertigkeit </w:t>
      </w:r>
    </w:p>
    <w:p w:rsidR="00024C9B" w:rsidRDefault="00F10AE7" w:rsidP="00F10AE7">
      <w:pPr>
        <w:spacing w:line="360" w:lineRule="auto"/>
        <w:jc w:val="both"/>
        <w:rPr>
          <w:rFonts w:eastAsia="Arial" w:cs="Arial"/>
        </w:rPr>
      </w:pPr>
      <w:r>
        <w:rPr>
          <w:rFonts w:eastAsia="Arial" w:cs="Arial"/>
        </w:rPr>
        <w:t>In der Grundschulzeit als nächstem für Erikson bedeutsamen Lebensabschnitt steht nicht mehr nur die Beziehungsgestaltung mit primären Bezugspersonen im Vordergrund, sondern vor allem die intensive Beschäftigung mit Gegenständen: Es ist die „Hoch-Zeit der Aktivität, des Bastelns, des Herstellens von Dingen, der Eroberung der Welt“ (Fend 2000: 405). Zu den Eltern kommen nun Peers als Spielkameraden hinzu; Kooperation, Freundschaftskonzepte und Wettstreit bilden sich aus. Ob das soziale Umfeld dem Betätigungsdrang des Kindes durch Anregungsbedingungen entspricht und die fortwährenden kindlichen Kompetenzdemonstrationen lobt und fördert, entscheidet darüber, ob sich beim Kind ein Selbstbild der Kompetenz und Handlungsfähigkeit entwickelt oder ob sich – bei Zurückweisung und Abwertung der kindlichen Leistungen – Minde</w:t>
      </w:r>
      <w:r w:rsidR="00024C9B">
        <w:rPr>
          <w:rFonts w:eastAsia="Arial" w:cs="Arial"/>
        </w:rPr>
        <w:t xml:space="preserve">rwertigkeitsgefühle einstellen </w:t>
      </w:r>
      <w:r>
        <w:rPr>
          <w:rFonts w:eastAsia="Arial" w:cs="Arial"/>
        </w:rPr>
        <w:t xml:space="preserve">(Fend 2000). </w:t>
      </w:r>
    </w:p>
    <w:p w:rsidR="00B60166" w:rsidRDefault="00B60166" w:rsidP="00F10AE7">
      <w:pPr>
        <w:spacing w:line="360" w:lineRule="auto"/>
        <w:jc w:val="both"/>
        <w:rPr>
          <w:rFonts w:eastAsia="Arial" w:cs="Arial"/>
        </w:rPr>
      </w:pPr>
    </w:p>
    <w:p w:rsidR="00024C9B" w:rsidRPr="00024C9B" w:rsidRDefault="00024C9B" w:rsidP="00F10AE7">
      <w:pPr>
        <w:spacing w:line="360" w:lineRule="auto"/>
        <w:jc w:val="both"/>
        <w:rPr>
          <w:rFonts w:eastAsia="Arial" w:cs="Arial"/>
          <w:u w:val="single"/>
        </w:rPr>
      </w:pPr>
      <w:r w:rsidRPr="00024C9B">
        <w:rPr>
          <w:rFonts w:eastAsia="Arial" w:cs="Arial"/>
          <w:u w:val="single"/>
        </w:rPr>
        <w:t>Das Jugendalter: Identität versus Identitätsdiffusion</w:t>
      </w:r>
    </w:p>
    <w:p w:rsidR="00F10AE7" w:rsidRDefault="00F10AE7" w:rsidP="00F10AE7">
      <w:pPr>
        <w:spacing w:line="360" w:lineRule="auto"/>
        <w:jc w:val="both"/>
        <w:rPr>
          <w:rFonts w:eastAsia="Arial" w:cs="Arial"/>
        </w:rPr>
      </w:pPr>
      <w:r>
        <w:rPr>
          <w:rFonts w:eastAsia="Arial" w:cs="Arial"/>
        </w:rPr>
        <w:t>Für Erikson ist das Jugendalter dadurch gekennzeichnet, dass das Individuum zum ersten Mal in seinem Lebenslauf die Frage nach einem ‚wahren Selbst‘ stellen kann. In der Adoleszenz, die für Erikson mit der Pubertät beginnt und bis ins frühe Erwachsenenalter des dritten Lebensjahrzehnts reicht, können Heranwachsende ihre bisherigen Verarbeitungen der sozialen Verhaltenserwartungen und Zuschreibungen kritisch reflektieren und ihnen ein selbst gestaltetes Ideal der Authentizität entgegenhalten: ‚Bin ich wirklich so, wie meine Familie mich sieht? Bin ich wirklich so, wie meine Lehrer mich sehen? Ich bin doch eigentlich ganz anders…‘. Das Individuum begreift nun, dass das eigene Selbst nur ihm direkt zugänglich ist. Aus diesem neuen Selbstverhältnis entfaltet sich die dynamische Suche nach Authentizität gegenüber sich selbst und anderen: ‚Wer will ich sein</w:t>
      </w:r>
      <w:proofErr w:type="gramStart"/>
      <w:r>
        <w:rPr>
          <w:rFonts w:eastAsia="Arial" w:cs="Arial"/>
        </w:rPr>
        <w:t>?‘</w:t>
      </w:r>
      <w:proofErr w:type="gramEnd"/>
      <w:r>
        <w:rPr>
          <w:rFonts w:eastAsia="Arial" w:cs="Arial"/>
        </w:rPr>
        <w:t xml:space="preserve"> ‚Wer kann ich sein</w:t>
      </w:r>
      <w:proofErr w:type="gramStart"/>
      <w:r>
        <w:rPr>
          <w:rFonts w:eastAsia="Arial" w:cs="Arial"/>
        </w:rPr>
        <w:t>?‘</w:t>
      </w:r>
      <w:proofErr w:type="gramEnd"/>
      <w:r>
        <w:rPr>
          <w:rFonts w:eastAsia="Arial" w:cs="Arial"/>
        </w:rPr>
        <w:t xml:space="preserve"> Wer darf ich sein</w:t>
      </w:r>
      <w:proofErr w:type="gramStart"/>
      <w:r>
        <w:rPr>
          <w:rFonts w:eastAsia="Arial" w:cs="Arial"/>
        </w:rPr>
        <w:t>?‘</w:t>
      </w:r>
      <w:proofErr w:type="gramEnd"/>
      <w:r>
        <w:rPr>
          <w:rFonts w:eastAsia="Arial" w:cs="Arial"/>
        </w:rPr>
        <w:t xml:space="preserve">. Gelingt es Jugendlichen auf der Basis dieser Selbsterkenntnis, ein neues Bündnis mit sich selbst zu schließen, in dem die eigene Vergangenheit sowie die Vorstellungen über die eigene Zukunft integriert sind, befinden sie sich in einem Prozess der Identitätsfindung. Wird die Entdeckung des eigenen Selbst jedoch durch soziale Ablehnung oder aufgrund von Entwicklungsstörungen in der Kindheit erschwert, kann es zu einer Identitätsdiffusion </w:t>
      </w:r>
      <w:r>
        <w:rPr>
          <w:rFonts w:eastAsia="Arial" w:cs="Arial"/>
        </w:rPr>
        <w:lastRenderedPageBreak/>
        <w:t>kommen, in der Jugendliche die Verantwortung für die eigene Identitätsentwicklung an autoritäre Personen oder Gruppen abgeben, oder in einem unverständigen, konflikthaften Verhäl</w:t>
      </w:r>
      <w:r w:rsidR="00024C9B">
        <w:rPr>
          <w:rFonts w:eastAsia="Arial" w:cs="Arial"/>
        </w:rPr>
        <w:t xml:space="preserve">tnis zu sich selbst verbleiben </w:t>
      </w:r>
      <w:r>
        <w:rPr>
          <w:rFonts w:eastAsia="Arial" w:cs="Arial"/>
        </w:rPr>
        <w:t xml:space="preserve">(Erikson 1992; Fend 2000; Hurrelmann 1999). </w:t>
      </w:r>
    </w:p>
    <w:p w:rsidR="00B60166" w:rsidRDefault="00B60166" w:rsidP="00F10AE7">
      <w:pPr>
        <w:spacing w:line="360" w:lineRule="auto"/>
        <w:jc w:val="both"/>
        <w:rPr>
          <w:rFonts w:eastAsia="Arial" w:cs="Arial"/>
          <w:u w:val="single"/>
        </w:rPr>
      </w:pPr>
    </w:p>
    <w:p w:rsidR="00024C9B" w:rsidRPr="00024C9B" w:rsidRDefault="00024C9B" w:rsidP="00F10AE7">
      <w:pPr>
        <w:spacing w:line="360" w:lineRule="auto"/>
        <w:jc w:val="both"/>
        <w:rPr>
          <w:rFonts w:eastAsia="Arial" w:cs="Arial"/>
          <w:u w:val="single"/>
        </w:rPr>
      </w:pPr>
      <w:r w:rsidRPr="00024C9B">
        <w:rPr>
          <w:rFonts w:eastAsia="Arial" w:cs="Arial"/>
          <w:u w:val="single"/>
        </w:rPr>
        <w:t>Das frühe Erwachsenenalter: Intimität versus Isolierung</w:t>
      </w:r>
    </w:p>
    <w:p w:rsidR="00B60166" w:rsidRDefault="00F10AE7" w:rsidP="00F10AE7">
      <w:pPr>
        <w:spacing w:line="360" w:lineRule="auto"/>
        <w:jc w:val="both"/>
        <w:rPr>
          <w:rFonts w:eastAsia="Arial" w:cs="Arial"/>
        </w:rPr>
      </w:pPr>
      <w:r>
        <w:rPr>
          <w:rFonts w:eastAsia="Arial" w:cs="Arial"/>
        </w:rPr>
        <w:t>Ist die Entwicklung von Identität zumindest vorläufig vollzogen worden, können im frühen Erwachsenenalter Liebesbeziehungen das Erleben erwachsener sexueller I</w:t>
      </w:r>
      <w:r w:rsidR="00024C9B">
        <w:rPr>
          <w:rFonts w:eastAsia="Arial" w:cs="Arial"/>
        </w:rPr>
        <w:t xml:space="preserve">ntimität ermöglichen. </w:t>
      </w:r>
      <w:r>
        <w:rPr>
          <w:rFonts w:eastAsia="Arial" w:cs="Arial"/>
        </w:rPr>
        <w:t xml:space="preserve">Bei mangelndem Vertrauen zu sich selbst und anderen aufgrund problematischer Entwicklungsverläufe in Kindheit und Jugend droht </w:t>
      </w:r>
      <w:r w:rsidR="00024C9B">
        <w:rPr>
          <w:rFonts w:eastAsia="Arial" w:cs="Arial"/>
        </w:rPr>
        <w:t>die Gefahr der Vereinsamung.</w:t>
      </w:r>
      <w:r w:rsidR="00B60166">
        <w:rPr>
          <w:rFonts w:eastAsia="Arial" w:cs="Arial"/>
        </w:rPr>
        <w:t xml:space="preserve"> </w:t>
      </w:r>
    </w:p>
    <w:p w:rsidR="00B60166" w:rsidRDefault="00B60166" w:rsidP="00F10AE7">
      <w:pPr>
        <w:spacing w:line="360" w:lineRule="auto"/>
        <w:jc w:val="both"/>
        <w:rPr>
          <w:rFonts w:eastAsia="Arial" w:cs="Arial"/>
        </w:rPr>
      </w:pPr>
    </w:p>
    <w:p w:rsidR="00B60166" w:rsidRPr="00B60166" w:rsidRDefault="00B60166" w:rsidP="00B60166">
      <w:pPr>
        <w:spacing w:line="360" w:lineRule="auto"/>
        <w:jc w:val="both"/>
        <w:rPr>
          <w:rFonts w:eastAsia="Arial" w:cs="Arial"/>
          <w:u w:val="single"/>
        </w:rPr>
      </w:pPr>
      <w:r>
        <w:rPr>
          <w:rFonts w:eastAsia="Arial" w:cs="Arial"/>
          <w:u w:val="single"/>
        </w:rPr>
        <w:t xml:space="preserve">Das mittlere Erwachsenenalter: </w:t>
      </w:r>
      <w:r w:rsidRPr="00B60166">
        <w:rPr>
          <w:rFonts w:eastAsia="Arial" w:cs="Arial"/>
          <w:u w:val="single"/>
        </w:rPr>
        <w:t>Generativität versus Stagnation</w:t>
      </w:r>
    </w:p>
    <w:p w:rsidR="00B60166" w:rsidRDefault="00F10AE7" w:rsidP="00F10AE7">
      <w:pPr>
        <w:spacing w:line="360" w:lineRule="auto"/>
        <w:jc w:val="both"/>
        <w:rPr>
          <w:rFonts w:eastAsia="Arial" w:cs="Arial"/>
        </w:rPr>
      </w:pPr>
      <w:r>
        <w:rPr>
          <w:rFonts w:eastAsia="Arial" w:cs="Arial"/>
        </w:rPr>
        <w:t xml:space="preserve">Das Leben in stabilen zwischenmenschlichen Beziehungen führt schließlich zu der Frage, ob eine Person aus der Paarbeziehung heraus eine eigene Familie gründen möchte. Entscheiden sich die Partner hierfür, wird ein neuer Lebenszyklus auf der nächsten generationalen Ebene eröffnet. Aber auch bei der Entscheidung gegen eine eigene Familiengründung steht eine Personen ab dem mittleren Erwachsenenalter vor der Frage, ob sie die nachfolgende Generation mit ihren eigenen Werten und Vorstellungen anerkennt oder sich ablehnend verschließt. </w:t>
      </w:r>
    </w:p>
    <w:p w:rsidR="00B60166" w:rsidRDefault="00B60166" w:rsidP="00F10AE7">
      <w:pPr>
        <w:spacing w:line="360" w:lineRule="auto"/>
        <w:jc w:val="both"/>
        <w:rPr>
          <w:rFonts w:eastAsia="Arial" w:cs="Arial"/>
        </w:rPr>
      </w:pPr>
    </w:p>
    <w:p w:rsidR="00B60166" w:rsidRPr="00B60166" w:rsidRDefault="00B60166" w:rsidP="00F10AE7">
      <w:pPr>
        <w:spacing w:line="360" w:lineRule="auto"/>
        <w:jc w:val="both"/>
        <w:rPr>
          <w:rFonts w:eastAsia="Arial" w:cs="Arial"/>
          <w:u w:val="single"/>
        </w:rPr>
      </w:pPr>
      <w:r w:rsidRPr="00B60166">
        <w:rPr>
          <w:rFonts w:eastAsia="Arial" w:cs="Arial"/>
          <w:u w:val="single"/>
        </w:rPr>
        <w:t>Das späte Erwachsenenalter: Integrität versus Verzweiflung</w:t>
      </w:r>
    </w:p>
    <w:p w:rsidR="00F10AE7" w:rsidRDefault="00F10AE7" w:rsidP="00F10AE7">
      <w:pPr>
        <w:spacing w:line="360" w:lineRule="auto"/>
        <w:jc w:val="both"/>
        <w:rPr>
          <w:rFonts w:eastAsia="Arial" w:cs="Arial"/>
        </w:rPr>
      </w:pPr>
      <w:r>
        <w:rPr>
          <w:rFonts w:eastAsia="Arial" w:cs="Arial"/>
        </w:rPr>
        <w:t xml:space="preserve">Die letzte von Erikson analysierte Entwicklungsaufgabe besteht in der Rückschau auf das eigene Leben im späten Erwachsenenalter: Erscheint der eigene Lebensweg rückblickend sinn- und bedeutungsvoll, oder stehen verpasste Chancen und falsche Lebensentscheidungen im Vordergrund? Wenn das eigene Leben bejaht und akzeptiert werden kann und versöhnende Haltungen den letzten Lebensabschnitt prägen, hat dies die rückblickende Akzeptanz der eigenen Identität zur Folge. Bei der Ablehnung des eigenen Lebensweges wird das eigene Selbst durch Trostlosigkeit und </w:t>
      </w:r>
      <w:r w:rsidR="00B60166">
        <w:rPr>
          <w:rFonts w:eastAsia="Arial" w:cs="Arial"/>
        </w:rPr>
        <w:t xml:space="preserve">Niedergeschlagenheit bestimmt </w:t>
      </w:r>
      <w:r>
        <w:rPr>
          <w:rFonts w:eastAsia="Arial" w:cs="Arial"/>
        </w:rPr>
        <w:t>(Erikson 1992; Fend 2000; Hurrelmann 1999).</w:t>
      </w:r>
    </w:p>
    <w:p w:rsidR="00B60166" w:rsidRDefault="00B60166" w:rsidP="00F10AE7">
      <w:pPr>
        <w:spacing w:line="360" w:lineRule="auto"/>
        <w:jc w:val="both"/>
        <w:rPr>
          <w:rFonts w:eastAsia="Arial" w:cs="Arial"/>
        </w:rPr>
      </w:pPr>
    </w:p>
    <w:p w:rsidR="00C76C12" w:rsidRDefault="00C76C12" w:rsidP="00B60166">
      <w:pPr>
        <w:pStyle w:val="KeinLeerraum"/>
        <w:rPr>
          <w:rFonts w:ascii="Times New Roman" w:hAnsi="Times New Roman" w:cs="Times New Roman"/>
          <w:sz w:val="24"/>
          <w:szCs w:val="24"/>
          <w:u w:val="single"/>
        </w:rPr>
      </w:pPr>
    </w:p>
    <w:p w:rsidR="00C76C12" w:rsidRDefault="00C76C12" w:rsidP="00B60166">
      <w:pPr>
        <w:pStyle w:val="KeinLeerraum"/>
        <w:rPr>
          <w:rFonts w:ascii="Times New Roman" w:hAnsi="Times New Roman" w:cs="Times New Roman"/>
          <w:sz w:val="24"/>
          <w:szCs w:val="24"/>
          <w:u w:val="single"/>
        </w:rPr>
      </w:pPr>
    </w:p>
    <w:p w:rsidR="00C76C12" w:rsidRDefault="00C76C12" w:rsidP="00B60166">
      <w:pPr>
        <w:pStyle w:val="KeinLeerraum"/>
        <w:rPr>
          <w:rFonts w:ascii="Times New Roman" w:hAnsi="Times New Roman" w:cs="Times New Roman"/>
          <w:sz w:val="24"/>
          <w:szCs w:val="24"/>
          <w:u w:val="single"/>
        </w:rPr>
      </w:pPr>
    </w:p>
    <w:p w:rsidR="00C76C12" w:rsidRDefault="00C76C12" w:rsidP="00B60166">
      <w:pPr>
        <w:pStyle w:val="KeinLeerraum"/>
        <w:rPr>
          <w:rFonts w:ascii="Times New Roman" w:hAnsi="Times New Roman" w:cs="Times New Roman"/>
          <w:sz w:val="24"/>
          <w:szCs w:val="24"/>
          <w:u w:val="single"/>
        </w:rPr>
      </w:pPr>
    </w:p>
    <w:p w:rsidR="00C76C12" w:rsidRDefault="00C76C12" w:rsidP="00B60166">
      <w:pPr>
        <w:pStyle w:val="KeinLeerraum"/>
        <w:rPr>
          <w:rFonts w:ascii="Times New Roman" w:hAnsi="Times New Roman" w:cs="Times New Roman"/>
          <w:sz w:val="24"/>
          <w:szCs w:val="24"/>
          <w:u w:val="single"/>
        </w:rPr>
      </w:pPr>
    </w:p>
    <w:p w:rsidR="00C76C12" w:rsidRDefault="00C76C12" w:rsidP="00B60166">
      <w:pPr>
        <w:pStyle w:val="KeinLeerraum"/>
        <w:rPr>
          <w:rFonts w:ascii="Times New Roman" w:hAnsi="Times New Roman" w:cs="Times New Roman"/>
          <w:sz w:val="24"/>
          <w:szCs w:val="24"/>
          <w:u w:val="single"/>
        </w:rPr>
      </w:pPr>
    </w:p>
    <w:p w:rsidR="00C76C12" w:rsidRDefault="00C76C12" w:rsidP="00B60166">
      <w:pPr>
        <w:pStyle w:val="KeinLeerraum"/>
        <w:rPr>
          <w:rFonts w:ascii="Times New Roman" w:hAnsi="Times New Roman" w:cs="Times New Roman"/>
          <w:sz w:val="24"/>
          <w:szCs w:val="24"/>
          <w:u w:val="single"/>
        </w:rPr>
      </w:pPr>
    </w:p>
    <w:p w:rsidR="00C76C12" w:rsidRDefault="00C76C12" w:rsidP="00B60166">
      <w:pPr>
        <w:pStyle w:val="KeinLeerraum"/>
        <w:rPr>
          <w:rFonts w:ascii="Times New Roman" w:hAnsi="Times New Roman" w:cs="Times New Roman"/>
          <w:sz w:val="24"/>
          <w:szCs w:val="24"/>
          <w:u w:val="single"/>
        </w:rPr>
      </w:pPr>
    </w:p>
    <w:p w:rsidR="00B60166" w:rsidRPr="00B60166" w:rsidRDefault="00B60166" w:rsidP="00B60166">
      <w:pPr>
        <w:pStyle w:val="KeinLeerraum"/>
        <w:rPr>
          <w:rFonts w:ascii="Times New Roman" w:hAnsi="Times New Roman" w:cs="Times New Roman"/>
          <w:sz w:val="24"/>
          <w:szCs w:val="24"/>
          <w:u w:val="single"/>
        </w:rPr>
      </w:pPr>
      <w:r w:rsidRPr="00B60166">
        <w:rPr>
          <w:rFonts w:ascii="Times New Roman" w:hAnsi="Times New Roman" w:cs="Times New Roman"/>
          <w:sz w:val="24"/>
          <w:szCs w:val="24"/>
          <w:u w:val="single"/>
        </w:rPr>
        <w:lastRenderedPageBreak/>
        <w:t>Literatur</w:t>
      </w:r>
    </w:p>
    <w:p w:rsidR="00B60166" w:rsidRPr="00B60166" w:rsidRDefault="00B60166" w:rsidP="00B60166">
      <w:pPr>
        <w:pStyle w:val="KeinLeerraum"/>
        <w:rPr>
          <w:rFonts w:ascii="Times New Roman" w:hAnsi="Times New Roman" w:cs="Times New Roman"/>
          <w:sz w:val="24"/>
          <w:szCs w:val="24"/>
        </w:rPr>
      </w:pPr>
    </w:p>
    <w:p w:rsidR="00B6016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Erikson, Erik (1973) Identität und Lebenszyklus. Suhrkamp, Frankfurt</w:t>
      </w:r>
    </w:p>
    <w:p w:rsidR="00B60166" w:rsidRPr="00B60166" w:rsidRDefault="00B60166" w:rsidP="00B60166">
      <w:pPr>
        <w:pStyle w:val="KeinLeerraum"/>
        <w:rPr>
          <w:rFonts w:ascii="Times New Roman" w:hAnsi="Times New Roman" w:cs="Times New Roman"/>
          <w:sz w:val="24"/>
          <w:szCs w:val="24"/>
        </w:rPr>
      </w:pPr>
    </w:p>
    <w:p w:rsidR="00B6016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Erikson, Erik (1992) Der vollständige Lebenszyklus. Suhrkamp, Frankfurt</w:t>
      </w:r>
    </w:p>
    <w:p w:rsidR="00B60166" w:rsidRPr="00B60166" w:rsidRDefault="00B60166" w:rsidP="00B60166">
      <w:pPr>
        <w:pStyle w:val="KeinLeerraum"/>
        <w:rPr>
          <w:rFonts w:ascii="Times New Roman" w:hAnsi="Times New Roman" w:cs="Times New Roman"/>
          <w:sz w:val="24"/>
          <w:szCs w:val="24"/>
        </w:rPr>
      </w:pPr>
    </w:p>
    <w:p w:rsidR="00B6016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Fend, Helmut (2000) Entwicklungspsychologie des Jugendalters. Leske+Budrich, Opladen</w:t>
      </w:r>
    </w:p>
    <w:p w:rsidR="00B60166" w:rsidRPr="00B60166" w:rsidRDefault="00B60166" w:rsidP="00B60166">
      <w:pPr>
        <w:pStyle w:val="KeinLeerraum"/>
        <w:rPr>
          <w:rFonts w:ascii="Times New Roman" w:hAnsi="Times New Roman" w:cs="Times New Roman"/>
          <w:sz w:val="24"/>
          <w:szCs w:val="24"/>
        </w:rPr>
      </w:pPr>
    </w:p>
    <w:p w:rsidR="00B6016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 xml:space="preserve">Grom, </w:t>
      </w:r>
      <w:proofErr w:type="spellStart"/>
      <w:r w:rsidRPr="00B60166">
        <w:rPr>
          <w:rFonts w:ascii="Times New Roman" w:hAnsi="Times New Roman" w:cs="Times New Roman"/>
          <w:sz w:val="24"/>
          <w:szCs w:val="24"/>
        </w:rPr>
        <w:t>Berhard</w:t>
      </w:r>
      <w:proofErr w:type="spellEnd"/>
      <w:r w:rsidRPr="00B60166">
        <w:rPr>
          <w:rFonts w:ascii="Times New Roman" w:hAnsi="Times New Roman" w:cs="Times New Roman"/>
          <w:sz w:val="24"/>
          <w:szCs w:val="24"/>
        </w:rPr>
        <w:t xml:space="preserve"> (2000) Religionspädagogische Psychologie. Patmos Verlag, Düsseldorf</w:t>
      </w:r>
    </w:p>
    <w:p w:rsidR="00B60166" w:rsidRDefault="00B60166" w:rsidP="00B60166">
      <w:pPr>
        <w:pStyle w:val="KeinLeerraum"/>
        <w:rPr>
          <w:rFonts w:ascii="Times New Roman" w:hAnsi="Times New Roman" w:cs="Times New Roman"/>
          <w:sz w:val="24"/>
          <w:szCs w:val="24"/>
        </w:rPr>
      </w:pPr>
    </w:p>
    <w:p w:rsidR="00B6016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Hurrelmann Klaus (1999) Lebensphase Jugend. Juventa, Weinheim</w:t>
      </w:r>
    </w:p>
    <w:p w:rsidR="00B60166" w:rsidRDefault="00B60166" w:rsidP="00B60166">
      <w:pPr>
        <w:pStyle w:val="KeinLeerraum"/>
        <w:rPr>
          <w:rFonts w:ascii="Times New Roman" w:hAnsi="Times New Roman" w:cs="Times New Roman"/>
          <w:sz w:val="24"/>
          <w:szCs w:val="24"/>
        </w:rPr>
      </w:pPr>
    </w:p>
    <w:p w:rsidR="00B6016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Köbel, Nils (2018) Identität, Werte, We</w:t>
      </w:r>
      <w:r w:rsidR="00C76C12">
        <w:rPr>
          <w:rFonts w:ascii="Times New Roman" w:hAnsi="Times New Roman" w:cs="Times New Roman"/>
          <w:sz w:val="24"/>
          <w:szCs w:val="24"/>
        </w:rPr>
        <w:t>ltdeutung. Beltz Verlag, Weinhei</w:t>
      </w:r>
      <w:r w:rsidRPr="00B60166">
        <w:rPr>
          <w:rFonts w:ascii="Times New Roman" w:hAnsi="Times New Roman" w:cs="Times New Roman"/>
          <w:sz w:val="24"/>
          <w:szCs w:val="24"/>
        </w:rPr>
        <w:t>m</w:t>
      </w:r>
    </w:p>
    <w:p w:rsidR="00B60166" w:rsidRPr="00B60166" w:rsidRDefault="00B60166" w:rsidP="00B60166">
      <w:pPr>
        <w:pStyle w:val="KeinLeerraum"/>
        <w:rPr>
          <w:rFonts w:ascii="Times New Roman" w:hAnsi="Times New Roman" w:cs="Times New Roman"/>
          <w:sz w:val="24"/>
          <w:szCs w:val="24"/>
        </w:rPr>
      </w:pPr>
    </w:p>
    <w:p w:rsidR="00B6016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Oerter Ralf, Montada, Leo (</w:t>
      </w:r>
      <w:proofErr w:type="spellStart"/>
      <w:r w:rsidRPr="00B60166">
        <w:rPr>
          <w:rFonts w:ascii="Times New Roman" w:hAnsi="Times New Roman" w:cs="Times New Roman"/>
          <w:sz w:val="24"/>
          <w:szCs w:val="24"/>
        </w:rPr>
        <w:t>Hrsg</w:t>
      </w:r>
      <w:proofErr w:type="spellEnd"/>
      <w:r w:rsidRPr="00B60166">
        <w:rPr>
          <w:rFonts w:ascii="Times New Roman" w:hAnsi="Times New Roman" w:cs="Times New Roman"/>
          <w:sz w:val="24"/>
          <w:szCs w:val="24"/>
        </w:rPr>
        <w:t>) (1998) Entwicklungspsychologie. Beltz, Weinheim</w:t>
      </w:r>
    </w:p>
    <w:p w:rsidR="00B60166" w:rsidRPr="00B60166" w:rsidRDefault="00B60166" w:rsidP="00B60166">
      <w:pPr>
        <w:pStyle w:val="KeinLeerraum"/>
        <w:rPr>
          <w:rFonts w:ascii="Times New Roman" w:hAnsi="Times New Roman" w:cs="Times New Roman"/>
          <w:sz w:val="24"/>
          <w:szCs w:val="24"/>
        </w:rPr>
      </w:pPr>
    </w:p>
    <w:p w:rsidR="00B873C6" w:rsidRPr="00B60166" w:rsidRDefault="00B60166" w:rsidP="00B60166">
      <w:pPr>
        <w:pStyle w:val="KeinLeerraum"/>
        <w:rPr>
          <w:rFonts w:ascii="Times New Roman" w:hAnsi="Times New Roman" w:cs="Times New Roman"/>
          <w:sz w:val="24"/>
          <w:szCs w:val="24"/>
        </w:rPr>
      </w:pPr>
      <w:r w:rsidRPr="00B60166">
        <w:rPr>
          <w:rFonts w:ascii="Times New Roman" w:hAnsi="Times New Roman" w:cs="Times New Roman"/>
          <w:sz w:val="24"/>
          <w:szCs w:val="24"/>
        </w:rPr>
        <w:t>Schweitzer, Friedrich (2004) Lebensgeschichte und Religion. Gütersloher Verlagshaus, Gütersloh</w:t>
      </w:r>
    </w:p>
    <w:sectPr w:rsidR="00B873C6" w:rsidRPr="00B60166" w:rsidSect="00B873C6">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C9B" w:rsidRDefault="00024C9B" w:rsidP="00024C9B">
      <w:r>
        <w:separator/>
      </w:r>
    </w:p>
  </w:endnote>
  <w:endnote w:type="continuationSeparator" w:id="0">
    <w:p w:rsidR="00024C9B" w:rsidRDefault="00024C9B" w:rsidP="00024C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C9B" w:rsidRDefault="00024C9B" w:rsidP="00024C9B">
      <w:r>
        <w:separator/>
      </w:r>
    </w:p>
  </w:footnote>
  <w:footnote w:type="continuationSeparator" w:id="0">
    <w:p w:rsidR="00024C9B" w:rsidRDefault="00024C9B" w:rsidP="00024C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footnotePr>
    <w:footnote w:id="-1"/>
    <w:footnote w:id="0"/>
  </w:footnotePr>
  <w:endnotePr>
    <w:endnote w:id="-1"/>
    <w:endnote w:id="0"/>
  </w:endnotePr>
  <w:compat/>
  <w:rsids>
    <w:rsidRoot w:val="00F10AE7"/>
    <w:rsid w:val="00024C9B"/>
    <w:rsid w:val="00B15EB4"/>
    <w:rsid w:val="00B60166"/>
    <w:rsid w:val="00B873C6"/>
    <w:rsid w:val="00C76C12"/>
    <w:rsid w:val="00F10AE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0AE7"/>
    <w:pPr>
      <w:widowControl w:val="0"/>
      <w:suppressAutoHyphens/>
      <w:spacing w:after="0" w:line="240" w:lineRule="auto"/>
    </w:pPr>
    <w:rPr>
      <w:rFonts w:ascii="Times New Roman" w:eastAsia="Lucida Sans Unicode" w:hAnsi="Times New Roman" w:cs="Times New Roman"/>
      <w:kern w:val="2"/>
      <w:sz w:val="24"/>
      <w:szCs w:val="24"/>
      <w:lang w:eastAsia="ar-SA"/>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HelleSchattierung-Akzent12">
    <w:name w:val="Helle Schattierung - Akzent 12"/>
    <w:basedOn w:val="NormaleTabelle"/>
    <w:uiPriority w:val="60"/>
    <w:rsid w:val="00F10AE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Kopfzeile">
    <w:name w:val="header"/>
    <w:basedOn w:val="Standard"/>
    <w:link w:val="KopfzeileZchn"/>
    <w:uiPriority w:val="99"/>
    <w:semiHidden/>
    <w:unhideWhenUsed/>
    <w:rsid w:val="00024C9B"/>
    <w:pPr>
      <w:tabs>
        <w:tab w:val="center" w:pos="4536"/>
        <w:tab w:val="right" w:pos="9072"/>
      </w:tabs>
    </w:pPr>
  </w:style>
  <w:style w:type="character" w:customStyle="1" w:styleId="KopfzeileZchn">
    <w:name w:val="Kopfzeile Zchn"/>
    <w:basedOn w:val="Absatz-Standardschriftart"/>
    <w:link w:val="Kopfzeile"/>
    <w:uiPriority w:val="99"/>
    <w:semiHidden/>
    <w:rsid w:val="00024C9B"/>
    <w:rPr>
      <w:rFonts w:ascii="Times New Roman" w:eastAsia="Lucida Sans Unicode" w:hAnsi="Times New Roman" w:cs="Times New Roman"/>
      <w:kern w:val="2"/>
      <w:sz w:val="24"/>
      <w:szCs w:val="24"/>
      <w:lang w:eastAsia="ar-SA"/>
    </w:rPr>
  </w:style>
  <w:style w:type="paragraph" w:styleId="Fuzeile">
    <w:name w:val="footer"/>
    <w:basedOn w:val="Standard"/>
    <w:link w:val="FuzeileZchn"/>
    <w:uiPriority w:val="99"/>
    <w:semiHidden/>
    <w:unhideWhenUsed/>
    <w:rsid w:val="00024C9B"/>
    <w:pPr>
      <w:tabs>
        <w:tab w:val="center" w:pos="4536"/>
        <w:tab w:val="right" w:pos="9072"/>
      </w:tabs>
    </w:pPr>
  </w:style>
  <w:style w:type="character" w:customStyle="1" w:styleId="FuzeileZchn">
    <w:name w:val="Fußzeile Zchn"/>
    <w:basedOn w:val="Absatz-Standardschriftart"/>
    <w:link w:val="Fuzeile"/>
    <w:uiPriority w:val="99"/>
    <w:semiHidden/>
    <w:rsid w:val="00024C9B"/>
    <w:rPr>
      <w:rFonts w:ascii="Times New Roman" w:eastAsia="Lucida Sans Unicode" w:hAnsi="Times New Roman" w:cs="Times New Roman"/>
      <w:kern w:val="2"/>
      <w:sz w:val="24"/>
      <w:szCs w:val="24"/>
      <w:lang w:eastAsia="ar-SA"/>
    </w:rPr>
  </w:style>
  <w:style w:type="paragraph" w:styleId="KeinLeerraum">
    <w:name w:val="No Spacing"/>
    <w:uiPriority w:val="1"/>
    <w:qFormat/>
    <w:rsid w:val="00B60166"/>
    <w:pPr>
      <w:spacing w:after="0" w:line="240" w:lineRule="auto"/>
    </w:pPr>
  </w:style>
  <w:style w:type="paragraph" w:styleId="StandardWeb">
    <w:name w:val="Normal (Web)"/>
    <w:basedOn w:val="Standard"/>
    <w:uiPriority w:val="99"/>
    <w:semiHidden/>
    <w:unhideWhenUsed/>
    <w:rsid w:val="00B60166"/>
    <w:pPr>
      <w:widowControl/>
      <w:suppressAutoHyphens w:val="0"/>
      <w:spacing w:before="100" w:beforeAutospacing="1" w:after="100" w:afterAutospacing="1"/>
    </w:pPr>
    <w:rPr>
      <w:rFonts w:eastAsia="Times New Roman"/>
      <w:kern w:val="0"/>
      <w:lang w:eastAsia="de-DE"/>
    </w:rPr>
  </w:style>
</w:styles>
</file>

<file path=word/webSettings.xml><?xml version="1.0" encoding="utf-8"?>
<w:webSettings xmlns:r="http://schemas.openxmlformats.org/officeDocument/2006/relationships" xmlns:w="http://schemas.openxmlformats.org/wordprocessingml/2006/main">
  <w:divs>
    <w:div w:id="1011569382">
      <w:bodyDiv w:val="1"/>
      <w:marLeft w:val="0"/>
      <w:marRight w:val="0"/>
      <w:marTop w:val="0"/>
      <w:marBottom w:val="0"/>
      <w:divBdr>
        <w:top w:val="none" w:sz="0" w:space="0" w:color="auto"/>
        <w:left w:val="none" w:sz="0" w:space="0" w:color="auto"/>
        <w:bottom w:val="none" w:sz="0" w:space="0" w:color="auto"/>
        <w:right w:val="none" w:sz="0" w:space="0" w:color="auto"/>
      </w:divBdr>
    </w:div>
    <w:div w:id="1379891122">
      <w:bodyDiv w:val="1"/>
      <w:marLeft w:val="0"/>
      <w:marRight w:val="0"/>
      <w:marTop w:val="0"/>
      <w:marBottom w:val="0"/>
      <w:divBdr>
        <w:top w:val="none" w:sz="0" w:space="0" w:color="auto"/>
        <w:left w:val="none" w:sz="0" w:space="0" w:color="auto"/>
        <w:bottom w:val="none" w:sz="0" w:space="0" w:color="auto"/>
        <w:right w:val="none" w:sz="0" w:space="0" w:color="auto"/>
      </w:divBdr>
      <w:divsChild>
        <w:div w:id="207619021">
          <w:marLeft w:val="432"/>
          <w:marRight w:val="0"/>
          <w:marTop w:val="120"/>
          <w:marBottom w:val="0"/>
          <w:divBdr>
            <w:top w:val="none" w:sz="0" w:space="0" w:color="auto"/>
            <w:left w:val="none" w:sz="0" w:space="0" w:color="auto"/>
            <w:bottom w:val="none" w:sz="0" w:space="0" w:color="auto"/>
            <w:right w:val="none" w:sz="0" w:space="0" w:color="auto"/>
          </w:divBdr>
        </w:div>
        <w:div w:id="1197625373">
          <w:marLeft w:val="432"/>
          <w:marRight w:val="0"/>
          <w:marTop w:val="120"/>
          <w:marBottom w:val="0"/>
          <w:divBdr>
            <w:top w:val="none" w:sz="0" w:space="0" w:color="auto"/>
            <w:left w:val="none" w:sz="0" w:space="0" w:color="auto"/>
            <w:bottom w:val="none" w:sz="0" w:space="0" w:color="auto"/>
            <w:right w:val="none" w:sz="0" w:space="0" w:color="auto"/>
          </w:divBdr>
        </w:div>
        <w:div w:id="1989748708">
          <w:marLeft w:val="432"/>
          <w:marRight w:val="0"/>
          <w:marTop w:val="120"/>
          <w:marBottom w:val="0"/>
          <w:divBdr>
            <w:top w:val="none" w:sz="0" w:space="0" w:color="auto"/>
            <w:left w:val="none" w:sz="0" w:space="0" w:color="auto"/>
            <w:bottom w:val="none" w:sz="0" w:space="0" w:color="auto"/>
            <w:right w:val="none" w:sz="0" w:space="0" w:color="auto"/>
          </w:divBdr>
        </w:div>
        <w:div w:id="1884905735">
          <w:marLeft w:val="432"/>
          <w:marRight w:val="0"/>
          <w:marTop w:val="120"/>
          <w:marBottom w:val="0"/>
          <w:divBdr>
            <w:top w:val="none" w:sz="0" w:space="0" w:color="auto"/>
            <w:left w:val="none" w:sz="0" w:space="0" w:color="auto"/>
            <w:bottom w:val="none" w:sz="0" w:space="0" w:color="auto"/>
            <w:right w:val="none" w:sz="0" w:space="0" w:color="auto"/>
          </w:divBdr>
        </w:div>
        <w:div w:id="1999578278">
          <w:marLeft w:val="432"/>
          <w:marRight w:val="0"/>
          <w:marTop w:val="120"/>
          <w:marBottom w:val="0"/>
          <w:divBdr>
            <w:top w:val="none" w:sz="0" w:space="0" w:color="auto"/>
            <w:left w:val="none" w:sz="0" w:space="0" w:color="auto"/>
            <w:bottom w:val="none" w:sz="0" w:space="0" w:color="auto"/>
            <w:right w:val="none" w:sz="0" w:space="0" w:color="auto"/>
          </w:divBdr>
        </w:div>
        <w:div w:id="298271631">
          <w:marLeft w:val="432"/>
          <w:marRight w:val="0"/>
          <w:marTop w:val="120"/>
          <w:marBottom w:val="0"/>
          <w:divBdr>
            <w:top w:val="none" w:sz="0" w:space="0" w:color="auto"/>
            <w:left w:val="none" w:sz="0" w:space="0" w:color="auto"/>
            <w:bottom w:val="none" w:sz="0" w:space="0" w:color="auto"/>
            <w:right w:val="none" w:sz="0" w:space="0" w:color="auto"/>
          </w:divBdr>
        </w:div>
      </w:divsChild>
    </w:div>
    <w:div w:id="1675759714">
      <w:bodyDiv w:val="1"/>
      <w:marLeft w:val="0"/>
      <w:marRight w:val="0"/>
      <w:marTop w:val="0"/>
      <w:marBottom w:val="0"/>
      <w:divBdr>
        <w:top w:val="none" w:sz="0" w:space="0" w:color="auto"/>
        <w:left w:val="none" w:sz="0" w:space="0" w:color="auto"/>
        <w:bottom w:val="none" w:sz="0" w:space="0" w:color="auto"/>
        <w:right w:val="none" w:sz="0" w:space="0" w:color="auto"/>
      </w:divBdr>
      <w:divsChild>
        <w:div w:id="274097168">
          <w:marLeft w:val="432"/>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1362</Words>
  <Characters>8585</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2018-07-11T19:27:00Z</dcterms:created>
  <dcterms:modified xsi:type="dcterms:W3CDTF">2018-07-13T11:17:00Z</dcterms:modified>
</cp:coreProperties>
</file>