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692" w:rsidRPr="00503DF5" w:rsidRDefault="00C47692" w:rsidP="00F37160">
      <w:pPr>
        <w:pStyle w:val="KeinLeerraum"/>
        <w:spacing w:line="360" w:lineRule="auto"/>
        <w:jc w:val="both"/>
        <w:rPr>
          <w:rFonts w:ascii="Times New Roman" w:hAnsi="Times New Roman" w:cs="Times New Roman"/>
          <w:i/>
          <w:sz w:val="24"/>
          <w:szCs w:val="24"/>
        </w:rPr>
      </w:pPr>
      <w:r w:rsidRPr="00503DF5">
        <w:rPr>
          <w:rFonts w:ascii="Times New Roman" w:hAnsi="Times New Roman" w:cs="Times New Roman"/>
          <w:i/>
          <w:sz w:val="24"/>
          <w:szCs w:val="24"/>
        </w:rPr>
        <w:t>Soziopod-Abstract</w:t>
      </w:r>
    </w:p>
    <w:p w:rsidR="00C47692" w:rsidRPr="00F37160" w:rsidRDefault="00C47692" w:rsidP="00F37160">
      <w:pPr>
        <w:pStyle w:val="KeinLeerraum"/>
        <w:spacing w:line="360" w:lineRule="auto"/>
        <w:jc w:val="both"/>
        <w:rPr>
          <w:rFonts w:ascii="Times New Roman" w:eastAsia="Arial" w:hAnsi="Times New Roman" w:cs="Times New Roman"/>
          <w:b/>
          <w:sz w:val="24"/>
          <w:szCs w:val="24"/>
        </w:rPr>
      </w:pPr>
    </w:p>
    <w:p w:rsidR="00C64E78" w:rsidRPr="00F37160" w:rsidRDefault="00C47692" w:rsidP="00F37160">
      <w:pPr>
        <w:pStyle w:val="KeinLeerraum"/>
        <w:spacing w:line="360" w:lineRule="auto"/>
        <w:jc w:val="both"/>
        <w:rPr>
          <w:rStyle w:val="kno-fv"/>
          <w:rFonts w:ascii="Times New Roman" w:hAnsi="Times New Roman" w:cs="Times New Roman"/>
          <w:b/>
          <w:sz w:val="24"/>
          <w:szCs w:val="24"/>
        </w:rPr>
      </w:pPr>
      <w:r w:rsidRPr="00F37160">
        <w:rPr>
          <w:rFonts w:ascii="Times New Roman" w:eastAsia="Arial" w:hAnsi="Times New Roman" w:cs="Times New Roman"/>
          <w:b/>
          <w:sz w:val="24"/>
          <w:szCs w:val="24"/>
        </w:rPr>
        <w:t xml:space="preserve">Die Theorie der Identitätsbildung von G.H. </w:t>
      </w:r>
      <w:r w:rsidR="000B4336" w:rsidRPr="00F37160">
        <w:rPr>
          <w:rFonts w:ascii="Times New Roman" w:eastAsia="Arial" w:hAnsi="Times New Roman" w:cs="Times New Roman"/>
          <w:b/>
          <w:sz w:val="24"/>
          <w:szCs w:val="24"/>
        </w:rPr>
        <w:t xml:space="preserve">Mead </w:t>
      </w:r>
    </w:p>
    <w:p w:rsidR="00F37160" w:rsidRPr="00F37160" w:rsidRDefault="00F37160" w:rsidP="00F37160">
      <w:pPr>
        <w:pStyle w:val="KeinLeerraum"/>
        <w:spacing w:line="360" w:lineRule="auto"/>
        <w:jc w:val="both"/>
        <w:rPr>
          <w:rStyle w:val="kno-fv"/>
          <w:rFonts w:ascii="Times New Roman" w:hAnsi="Times New Roman" w:cs="Times New Roman"/>
          <w:sz w:val="24"/>
          <w:szCs w:val="24"/>
        </w:rPr>
      </w:pPr>
    </w:p>
    <w:p w:rsidR="00C64E78" w:rsidRPr="00F37160" w:rsidRDefault="00C64E78" w:rsidP="00F37160">
      <w:pPr>
        <w:pStyle w:val="KeinLeerraum"/>
        <w:spacing w:line="360" w:lineRule="auto"/>
        <w:jc w:val="both"/>
        <w:rPr>
          <w:rFonts w:ascii="Times New Roman" w:hAnsi="Times New Roman" w:cs="Times New Roman"/>
          <w:sz w:val="24"/>
          <w:szCs w:val="24"/>
        </w:rPr>
      </w:pPr>
      <w:r w:rsidRPr="00F37160">
        <w:rPr>
          <w:rStyle w:val="kno-fv"/>
          <w:rFonts w:ascii="Times New Roman" w:hAnsi="Times New Roman" w:cs="Times New Roman"/>
          <w:sz w:val="24"/>
          <w:szCs w:val="24"/>
        </w:rPr>
        <w:t>A</w:t>
      </w:r>
      <w:r w:rsidR="000B4336" w:rsidRPr="00F37160">
        <w:rPr>
          <w:rStyle w:val="kno-fv"/>
          <w:rFonts w:ascii="Times New Roman" w:hAnsi="Times New Roman" w:cs="Times New Roman"/>
          <w:sz w:val="24"/>
          <w:szCs w:val="24"/>
        </w:rPr>
        <w:t>ls</w:t>
      </w:r>
      <w:r w:rsidR="000B4336" w:rsidRPr="00F37160">
        <w:rPr>
          <w:rFonts w:ascii="Times New Roman" w:eastAsia="Arial" w:hAnsi="Times New Roman" w:cs="Times New Roman"/>
          <w:sz w:val="24"/>
          <w:szCs w:val="24"/>
        </w:rPr>
        <w:t xml:space="preserve"> ein Begründer der sozialwissenschaftlich fundierten Identitätsforschung </w:t>
      </w:r>
      <w:r w:rsidRPr="00F37160">
        <w:rPr>
          <w:rFonts w:ascii="Times New Roman" w:eastAsia="Arial" w:hAnsi="Times New Roman" w:cs="Times New Roman"/>
          <w:sz w:val="24"/>
          <w:szCs w:val="24"/>
        </w:rPr>
        <w:t xml:space="preserve">sieht </w:t>
      </w:r>
      <w:r w:rsidR="00C47692" w:rsidRPr="00F37160">
        <w:rPr>
          <w:rFonts w:ascii="Times New Roman" w:eastAsia="Arial" w:hAnsi="Times New Roman" w:cs="Times New Roman"/>
          <w:sz w:val="24"/>
          <w:szCs w:val="24"/>
        </w:rPr>
        <w:t xml:space="preserve">George Herbert </w:t>
      </w:r>
      <w:r w:rsidRPr="00F37160">
        <w:rPr>
          <w:rFonts w:ascii="Times New Roman" w:eastAsia="Arial" w:hAnsi="Times New Roman" w:cs="Times New Roman"/>
          <w:sz w:val="24"/>
          <w:szCs w:val="24"/>
        </w:rPr>
        <w:t>Mead</w:t>
      </w:r>
      <w:r w:rsidR="00503DF5">
        <w:rPr>
          <w:rFonts w:ascii="Times New Roman" w:eastAsia="Arial" w:hAnsi="Times New Roman" w:cs="Times New Roman"/>
          <w:sz w:val="24"/>
          <w:szCs w:val="24"/>
        </w:rPr>
        <w:t xml:space="preserve"> (1863-1931) </w:t>
      </w:r>
      <w:r w:rsidRPr="00F37160">
        <w:rPr>
          <w:rFonts w:ascii="Times New Roman" w:eastAsia="Arial" w:hAnsi="Times New Roman" w:cs="Times New Roman"/>
          <w:sz w:val="24"/>
          <w:szCs w:val="24"/>
        </w:rPr>
        <w:t>die</w:t>
      </w:r>
      <w:r w:rsidR="000B4336" w:rsidRPr="00F37160">
        <w:rPr>
          <w:rFonts w:ascii="Times New Roman" w:eastAsia="Arial" w:hAnsi="Times New Roman" w:cs="Times New Roman"/>
          <w:sz w:val="24"/>
          <w:szCs w:val="24"/>
        </w:rPr>
        <w:t xml:space="preserve"> Fähigkeit zur Rollen- und Perspektivübern</w:t>
      </w:r>
      <w:r w:rsidR="00561F67" w:rsidRPr="00F37160">
        <w:rPr>
          <w:rFonts w:ascii="Times New Roman" w:eastAsia="Arial" w:hAnsi="Times New Roman" w:cs="Times New Roman"/>
          <w:sz w:val="24"/>
          <w:szCs w:val="24"/>
        </w:rPr>
        <w:t>ahme als entscheidend für die Persönlichkeitsentwicklung</w:t>
      </w:r>
      <w:r w:rsidR="00503DF5">
        <w:rPr>
          <w:rFonts w:ascii="Times New Roman" w:eastAsia="Arial" w:hAnsi="Times New Roman" w:cs="Times New Roman"/>
          <w:sz w:val="24"/>
          <w:szCs w:val="24"/>
        </w:rPr>
        <w:t xml:space="preserve"> eines Menschen</w:t>
      </w:r>
      <w:r w:rsidR="000B4336" w:rsidRPr="00F37160">
        <w:rPr>
          <w:rFonts w:ascii="Times New Roman" w:eastAsia="Arial" w:hAnsi="Times New Roman" w:cs="Times New Roman"/>
          <w:sz w:val="24"/>
          <w:szCs w:val="24"/>
        </w:rPr>
        <w:t xml:space="preserve">. Indem Personen lernen, sich selbst aus der Perspektive eines anderen zu betrachten, können sie ein Verhältnis zu sich selbst einnehmen, das als Grundlage für jede inhaltliche Auseinandersetzung mit der eigenen </w:t>
      </w:r>
      <w:r w:rsidR="00561F67" w:rsidRPr="00F37160">
        <w:rPr>
          <w:rFonts w:ascii="Times New Roman" w:eastAsia="Arial" w:hAnsi="Times New Roman" w:cs="Times New Roman"/>
          <w:sz w:val="24"/>
          <w:szCs w:val="24"/>
        </w:rPr>
        <w:t xml:space="preserve">Person </w:t>
      </w:r>
      <w:r w:rsidR="000B4336" w:rsidRPr="00F37160">
        <w:rPr>
          <w:rFonts w:ascii="Times New Roman" w:eastAsia="Arial" w:hAnsi="Times New Roman" w:cs="Times New Roman"/>
          <w:sz w:val="24"/>
          <w:szCs w:val="24"/>
        </w:rPr>
        <w:t>dient. Diese Fähigkeit ist das Ergebnis eines schritt</w:t>
      </w:r>
      <w:r w:rsidRPr="00F37160">
        <w:rPr>
          <w:rFonts w:ascii="Times New Roman" w:eastAsia="Arial" w:hAnsi="Times New Roman" w:cs="Times New Roman"/>
          <w:sz w:val="24"/>
          <w:szCs w:val="24"/>
        </w:rPr>
        <w:t>weisen Sozialisationsprozesses, in dessen Zentrum das Erlernen der Sprache als gesellschaftlich geteiltem Symbolsystem steht. Mead unterscheidet drei Phasen des Spracherwerbs:</w:t>
      </w:r>
    </w:p>
    <w:p w:rsidR="00C64E78" w:rsidRPr="00F37160" w:rsidRDefault="00C64E78" w:rsidP="00503DF5">
      <w:pPr>
        <w:pStyle w:val="KeinLeerraum"/>
        <w:numPr>
          <w:ilvl w:val="0"/>
          <w:numId w:val="7"/>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Die ‚Geste’: Hier wird der Kontakt durch körperliche Haltungen ausgedrückt. Das Ablesen dieser Haltungen ermöglicht eine erste gegenseitige Verhaltensangleichung zwischen Bezugsperson und Kind.</w:t>
      </w:r>
    </w:p>
    <w:p w:rsidR="00C64E78" w:rsidRPr="00F37160" w:rsidRDefault="00C64E78" w:rsidP="00503DF5">
      <w:pPr>
        <w:pStyle w:val="KeinLeerraum"/>
        <w:numPr>
          <w:ilvl w:val="0"/>
          <w:numId w:val="7"/>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Die ‚vokale Geste’: Hier vollzieht sich der Über</w:t>
      </w:r>
      <w:r w:rsidR="00561F67" w:rsidRPr="00F37160">
        <w:rPr>
          <w:rFonts w:ascii="Times New Roman" w:hAnsi="Times New Roman" w:cs="Times New Roman"/>
          <w:sz w:val="24"/>
          <w:szCs w:val="24"/>
        </w:rPr>
        <w:t>gang zum ‚signifikanten Symbol’. D</w:t>
      </w:r>
      <w:r w:rsidRPr="00F37160">
        <w:rPr>
          <w:rFonts w:ascii="Times New Roman" w:hAnsi="Times New Roman" w:cs="Times New Roman"/>
          <w:sz w:val="24"/>
          <w:szCs w:val="24"/>
        </w:rPr>
        <w:t>as Kind beginnt,</w:t>
      </w:r>
      <w:r w:rsidR="00561F67" w:rsidRPr="00F37160">
        <w:rPr>
          <w:rFonts w:ascii="Times New Roman" w:hAnsi="Times New Roman" w:cs="Times New Roman"/>
          <w:sz w:val="24"/>
          <w:szCs w:val="24"/>
        </w:rPr>
        <w:t xml:space="preserve"> durch Zeigen, Deuten und Rufen</w:t>
      </w:r>
      <w:r w:rsidRPr="00F37160">
        <w:rPr>
          <w:rFonts w:ascii="Times New Roman" w:hAnsi="Times New Roman" w:cs="Times New Roman"/>
          <w:sz w:val="24"/>
          <w:szCs w:val="24"/>
        </w:rPr>
        <w:t xml:space="preserve"> andere zu beeinflussen.</w:t>
      </w:r>
    </w:p>
    <w:p w:rsidR="00C64E78" w:rsidRPr="00F37160" w:rsidRDefault="00C64E78" w:rsidP="00503DF5">
      <w:pPr>
        <w:pStyle w:val="KeinLeerraum"/>
        <w:numPr>
          <w:ilvl w:val="0"/>
          <w:numId w:val="7"/>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 xml:space="preserve">Die ‚signifikante Geste’: Intentionen und Bedeutungen können jetzt auf dem allgemein- anerkannten Bedeutungsgrund der Sprache wechselseitig erschlossen und verarbeitet werden. </w:t>
      </w:r>
    </w:p>
    <w:p w:rsidR="00561F67" w:rsidRPr="00F37160" w:rsidRDefault="00C64E78"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 xml:space="preserve">Das Erlernen der Sprache ermöglicht dem Menschen, mithilfe eines allgemein gültigen </w:t>
      </w:r>
      <w:r w:rsidR="00561F67" w:rsidRPr="00F37160">
        <w:rPr>
          <w:rFonts w:ascii="Times New Roman" w:eastAsia="Arial" w:hAnsi="Times New Roman" w:cs="Times New Roman"/>
          <w:sz w:val="24"/>
          <w:szCs w:val="24"/>
        </w:rPr>
        <w:t>Symbolsystems Haltungen, Intentionen, Bedeutungen und Gefühle auszudrücken und mit anderen Personen auszutauschen.</w:t>
      </w:r>
      <w:r w:rsidRPr="00F37160">
        <w:rPr>
          <w:rFonts w:ascii="Times New Roman" w:eastAsia="Arial" w:hAnsi="Times New Roman" w:cs="Times New Roman"/>
          <w:sz w:val="24"/>
          <w:szCs w:val="24"/>
        </w:rPr>
        <w:t xml:space="preserve"> </w:t>
      </w:r>
      <w:r w:rsidR="00561F67" w:rsidRPr="00F37160">
        <w:rPr>
          <w:rFonts w:ascii="Times New Roman" w:eastAsia="Arial" w:hAnsi="Times New Roman" w:cs="Times New Roman"/>
          <w:sz w:val="24"/>
          <w:szCs w:val="24"/>
        </w:rPr>
        <w:t xml:space="preserve">Sprache eröffnet in diesem Sinn ein symbolisches Universum an Ausdrucksmöglichkeiten. </w:t>
      </w:r>
    </w:p>
    <w:p w:rsidR="00561F67" w:rsidRPr="00F37160" w:rsidRDefault="00561F67" w:rsidP="00F37160">
      <w:pPr>
        <w:pStyle w:val="KeinLeerraum"/>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Durch sprachliche Handlungen wird d</w:t>
      </w:r>
      <w:r w:rsidR="000B4336" w:rsidRPr="00F37160">
        <w:rPr>
          <w:rFonts w:ascii="Times New Roman" w:hAnsi="Times New Roman" w:cs="Times New Roman"/>
          <w:sz w:val="24"/>
          <w:szCs w:val="24"/>
        </w:rPr>
        <w:t>ie interagierende soziale Umwelt zu einem Spiegel, in dem das eigene Verhalten wahrgenommen und abgelesen werden kann. Sind es in der Kindheit zunächst die primären Bezugspersonen eines Kindes – Mead bezeichnet sie als ‚signifikante Andere‘ – mit denen diese spiegelnden Interaktionen eingeübt werden, lernen Heranwachsende in zunehmendem Maße, die Haltungen größerer sozialen Gruppen bin hi</w:t>
      </w:r>
      <w:r w:rsidRPr="00F37160">
        <w:rPr>
          <w:rFonts w:ascii="Times New Roman" w:hAnsi="Times New Roman" w:cs="Times New Roman"/>
          <w:sz w:val="24"/>
          <w:szCs w:val="24"/>
        </w:rPr>
        <w:t>n zum gesamtgesellschaftlichen ‚</w:t>
      </w:r>
      <w:r w:rsidR="000B4336" w:rsidRPr="00F37160">
        <w:rPr>
          <w:rFonts w:ascii="Times New Roman" w:hAnsi="Times New Roman" w:cs="Times New Roman"/>
          <w:sz w:val="24"/>
          <w:szCs w:val="24"/>
        </w:rPr>
        <w:t xml:space="preserve">generalisierten Anderen‘ zu einem zentralen Aspekt </w:t>
      </w:r>
      <w:r w:rsidR="00503DF5">
        <w:rPr>
          <w:rFonts w:ascii="Times New Roman" w:hAnsi="Times New Roman" w:cs="Times New Roman"/>
          <w:sz w:val="24"/>
          <w:szCs w:val="24"/>
        </w:rPr>
        <w:t xml:space="preserve">des </w:t>
      </w:r>
      <w:r w:rsidR="000B4336" w:rsidRPr="00F37160">
        <w:rPr>
          <w:rFonts w:ascii="Times New Roman" w:hAnsi="Times New Roman" w:cs="Times New Roman"/>
          <w:sz w:val="24"/>
          <w:szCs w:val="24"/>
        </w:rPr>
        <w:t xml:space="preserve">eigenen Selbst zu machen. </w:t>
      </w:r>
    </w:p>
    <w:p w:rsidR="00503DF5" w:rsidRPr="00F37160" w:rsidRDefault="000B4336" w:rsidP="00503DF5">
      <w:pPr>
        <w:pStyle w:val="KeinLeerraum"/>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 xml:space="preserve">Im Zuge dieser Entwicklungen verfeinert sich die Fähigkeit eines Individuums, Objekt für sich selbst sein zu können: Es entsteht die Fähigkeit eines inneren Dialogs, in dem die eigenen Motive und Haltungen zum Gegenstand der Selbstreflexion werden. </w:t>
      </w:r>
      <w:r w:rsidR="00503DF5" w:rsidRPr="00F37160">
        <w:rPr>
          <w:rFonts w:ascii="Times New Roman" w:hAnsi="Times New Roman" w:cs="Times New Roman"/>
          <w:sz w:val="24"/>
          <w:szCs w:val="24"/>
        </w:rPr>
        <w:t xml:space="preserve">Die Übernahme der </w:t>
      </w:r>
      <w:r w:rsidR="00503DF5" w:rsidRPr="00F37160">
        <w:rPr>
          <w:rFonts w:ascii="Times New Roman" w:hAnsi="Times New Roman" w:cs="Times New Roman"/>
          <w:sz w:val="24"/>
          <w:szCs w:val="24"/>
        </w:rPr>
        <w:lastRenderedPageBreak/>
        <w:t>gesamtgesellschaftlichen Einstellungen der Interaktionsp</w:t>
      </w:r>
      <w:r w:rsidR="00503DF5">
        <w:rPr>
          <w:rFonts w:ascii="Times New Roman" w:hAnsi="Times New Roman" w:cs="Times New Roman"/>
          <w:sz w:val="24"/>
          <w:szCs w:val="24"/>
        </w:rPr>
        <w:t>artner bezeichnet Mead als das ‚Mich‘. E</w:t>
      </w:r>
      <w:r w:rsidR="00503DF5" w:rsidRPr="00F37160">
        <w:rPr>
          <w:rFonts w:ascii="Times New Roman" w:hAnsi="Times New Roman" w:cs="Times New Roman"/>
          <w:sz w:val="24"/>
          <w:szCs w:val="24"/>
        </w:rPr>
        <w:t>s besteht aus den</w:t>
      </w:r>
      <w:r w:rsidR="00503DF5">
        <w:rPr>
          <w:rFonts w:ascii="Times New Roman" w:hAnsi="Times New Roman" w:cs="Times New Roman"/>
          <w:sz w:val="24"/>
          <w:szCs w:val="24"/>
        </w:rPr>
        <w:t xml:space="preserve"> internalisierten</w:t>
      </w:r>
      <w:r w:rsidR="00503DF5" w:rsidRPr="00F37160">
        <w:rPr>
          <w:rFonts w:ascii="Times New Roman" w:hAnsi="Times New Roman" w:cs="Times New Roman"/>
          <w:sz w:val="24"/>
          <w:szCs w:val="24"/>
        </w:rPr>
        <w:t xml:space="preserve"> Verhaltenserwartun</w:t>
      </w:r>
      <w:r w:rsidR="00503DF5">
        <w:rPr>
          <w:rFonts w:ascii="Times New Roman" w:hAnsi="Times New Roman" w:cs="Times New Roman"/>
          <w:sz w:val="24"/>
          <w:szCs w:val="24"/>
        </w:rPr>
        <w:t>gen des generalisierten Anderen. Das ‚Ich‘</w:t>
      </w:r>
      <w:r w:rsidR="00503DF5" w:rsidRPr="00F37160">
        <w:rPr>
          <w:rFonts w:ascii="Times New Roman" w:hAnsi="Times New Roman" w:cs="Times New Roman"/>
          <w:sz w:val="24"/>
          <w:szCs w:val="24"/>
        </w:rPr>
        <w:t xml:space="preserve"> repräsentiert die Fähigkeit des Individuums, kreativ und spontan diese Verhaltenserwartungen verarbeiten zu können und vermittelt damit dem Einzelnen ein Bewusstsein seiner Freiheit. Diese beiden Aspekte bilden für Mead die zentralen Instanzen ‚Ich und Mich (I and Me)‘, die das Selbst einer Person konstituieren.</w:t>
      </w:r>
    </w:p>
    <w:p w:rsidR="003C5F26" w:rsidRPr="00F37160" w:rsidRDefault="00503DF5" w:rsidP="00F37160">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Um präzise zu beschreiben, wie sich das Zusammenspiel zwischen Individuum und Gesellschaft strukturiert, </w:t>
      </w:r>
      <w:r w:rsidR="003C5F26" w:rsidRPr="00F37160">
        <w:rPr>
          <w:rFonts w:ascii="Times New Roman" w:hAnsi="Times New Roman" w:cs="Times New Roman"/>
          <w:sz w:val="24"/>
          <w:szCs w:val="24"/>
        </w:rPr>
        <w:t xml:space="preserve">unterscheidet </w:t>
      </w:r>
      <w:r>
        <w:rPr>
          <w:rFonts w:ascii="Times New Roman" w:hAnsi="Times New Roman" w:cs="Times New Roman"/>
          <w:sz w:val="24"/>
          <w:szCs w:val="24"/>
        </w:rPr>
        <w:t xml:space="preserve">Mead </w:t>
      </w:r>
      <w:r w:rsidR="003C5F26" w:rsidRPr="00F37160">
        <w:rPr>
          <w:rFonts w:ascii="Times New Roman" w:hAnsi="Times New Roman" w:cs="Times New Roman"/>
          <w:sz w:val="24"/>
          <w:szCs w:val="24"/>
        </w:rPr>
        <w:t>die Begriffe Denken, Geist und Sinn:</w:t>
      </w:r>
    </w:p>
    <w:p w:rsidR="003C5F26" w:rsidRPr="00F37160" w:rsidRDefault="003C5F26" w:rsidP="00F37160">
      <w:pPr>
        <w:pStyle w:val="KeinLeerraum"/>
        <w:numPr>
          <w:ilvl w:val="0"/>
          <w:numId w:val="6"/>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‚Denken‘: Fähigkeit, die Reaktionen seines Interaktionspartners zu antizipieren. Denken steht zwischen den sozialen Reizen und dem antwortenden Verhalten und bildet damit die soziale Welt.</w:t>
      </w:r>
    </w:p>
    <w:p w:rsidR="00F37160" w:rsidRPr="00F37160" w:rsidRDefault="003C5F26" w:rsidP="00F37160">
      <w:pPr>
        <w:pStyle w:val="KeinLeerraum"/>
        <w:numPr>
          <w:ilvl w:val="0"/>
          <w:numId w:val="6"/>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 xml:space="preserve">‚Geist’: Fähigkeit des </w:t>
      </w:r>
      <w:r w:rsidR="00D82EF2">
        <w:rPr>
          <w:rFonts w:ascii="Times New Roman" w:hAnsi="Times New Roman" w:cs="Times New Roman"/>
          <w:sz w:val="24"/>
          <w:szCs w:val="24"/>
        </w:rPr>
        <w:t xml:space="preserve">Menschen, </w:t>
      </w:r>
      <w:r w:rsidRPr="00F37160">
        <w:rPr>
          <w:rFonts w:ascii="Times New Roman" w:hAnsi="Times New Roman" w:cs="Times New Roman"/>
          <w:sz w:val="24"/>
          <w:szCs w:val="24"/>
        </w:rPr>
        <w:t xml:space="preserve">Haltungen und </w:t>
      </w:r>
      <w:r w:rsidR="00F37160" w:rsidRPr="00F37160">
        <w:rPr>
          <w:rFonts w:ascii="Times New Roman" w:hAnsi="Times New Roman" w:cs="Times New Roman"/>
          <w:sz w:val="24"/>
          <w:szCs w:val="24"/>
        </w:rPr>
        <w:t xml:space="preserve">Handlungen </w:t>
      </w:r>
      <w:r w:rsidRPr="00F37160">
        <w:rPr>
          <w:rFonts w:ascii="Times New Roman" w:hAnsi="Times New Roman" w:cs="Times New Roman"/>
          <w:sz w:val="24"/>
          <w:szCs w:val="24"/>
        </w:rPr>
        <w:t>auf der Grundlage von gesellschaftlichen Erfahrungen</w:t>
      </w:r>
      <w:r w:rsidR="00D82EF2">
        <w:rPr>
          <w:rFonts w:ascii="Times New Roman" w:hAnsi="Times New Roman" w:cs="Times New Roman"/>
          <w:sz w:val="24"/>
          <w:szCs w:val="24"/>
        </w:rPr>
        <w:t xml:space="preserve"> anzupassen</w:t>
      </w:r>
      <w:r w:rsidRPr="00F37160">
        <w:rPr>
          <w:rFonts w:ascii="Times New Roman" w:hAnsi="Times New Roman" w:cs="Times New Roman"/>
          <w:sz w:val="24"/>
          <w:szCs w:val="24"/>
        </w:rPr>
        <w:t xml:space="preserve">. </w:t>
      </w:r>
    </w:p>
    <w:p w:rsidR="00F37160" w:rsidRPr="00F37160" w:rsidRDefault="003C5F26" w:rsidP="00F37160">
      <w:pPr>
        <w:pStyle w:val="KeinLeerraum"/>
        <w:numPr>
          <w:ilvl w:val="0"/>
          <w:numId w:val="6"/>
        </w:numPr>
        <w:spacing w:line="360" w:lineRule="auto"/>
        <w:jc w:val="both"/>
        <w:rPr>
          <w:rFonts w:ascii="Times New Roman" w:hAnsi="Times New Roman" w:cs="Times New Roman"/>
          <w:sz w:val="24"/>
          <w:szCs w:val="24"/>
        </w:rPr>
      </w:pPr>
      <w:r w:rsidRPr="00F37160">
        <w:rPr>
          <w:rFonts w:ascii="Times New Roman" w:hAnsi="Times New Roman" w:cs="Times New Roman"/>
          <w:sz w:val="24"/>
          <w:szCs w:val="24"/>
        </w:rPr>
        <w:t>‚Sinn’</w:t>
      </w:r>
      <w:r w:rsidR="00F37160" w:rsidRPr="00F37160">
        <w:rPr>
          <w:rFonts w:ascii="Times New Roman" w:hAnsi="Times New Roman" w:cs="Times New Roman"/>
          <w:sz w:val="24"/>
          <w:szCs w:val="24"/>
        </w:rPr>
        <w:t xml:space="preserve">: Struktur des gesellschaftlichen Handelns, Gesamtkoordination des sozialen Lebens. </w:t>
      </w:r>
    </w:p>
    <w:p w:rsidR="00EE5F29" w:rsidRDefault="00EE5F29" w:rsidP="00F37160">
      <w:pPr>
        <w:pStyle w:val="KeinLeerraum"/>
        <w:spacing w:line="360" w:lineRule="auto"/>
        <w:jc w:val="both"/>
        <w:rPr>
          <w:rFonts w:ascii="Times New Roman" w:hAnsi="Times New Roman" w:cs="Times New Roman"/>
          <w:sz w:val="24"/>
          <w:szCs w:val="24"/>
          <w:u w:val="single"/>
        </w:rPr>
      </w:pPr>
    </w:p>
    <w:p w:rsidR="00F37160" w:rsidRPr="00F37160" w:rsidRDefault="00F37160" w:rsidP="00F37160">
      <w:pPr>
        <w:pStyle w:val="KeinLeerraum"/>
        <w:spacing w:line="360" w:lineRule="auto"/>
        <w:jc w:val="both"/>
        <w:rPr>
          <w:rFonts w:ascii="Times New Roman" w:hAnsi="Times New Roman" w:cs="Times New Roman"/>
          <w:sz w:val="24"/>
          <w:szCs w:val="24"/>
          <w:u w:val="single"/>
        </w:rPr>
      </w:pPr>
    </w:p>
    <w:p w:rsidR="00EE5F29" w:rsidRDefault="00EE5F29" w:rsidP="00F37160">
      <w:pPr>
        <w:pStyle w:val="KeinLeerraum"/>
        <w:spacing w:line="360" w:lineRule="auto"/>
        <w:jc w:val="both"/>
        <w:rPr>
          <w:rFonts w:ascii="Times New Roman" w:hAnsi="Times New Roman" w:cs="Times New Roman"/>
          <w:sz w:val="24"/>
          <w:szCs w:val="24"/>
          <w:u w:val="single"/>
        </w:rPr>
      </w:pPr>
      <w:r w:rsidRPr="00F37160">
        <w:rPr>
          <w:rFonts w:ascii="Times New Roman" w:hAnsi="Times New Roman" w:cs="Times New Roman"/>
          <w:sz w:val="24"/>
          <w:szCs w:val="24"/>
          <w:u w:val="single"/>
        </w:rPr>
        <w:t>Literatur</w:t>
      </w:r>
    </w:p>
    <w:p w:rsidR="00F37160" w:rsidRPr="00F37160" w:rsidRDefault="00F37160" w:rsidP="00F37160">
      <w:pPr>
        <w:pStyle w:val="KeinLeerraum"/>
        <w:spacing w:line="360" w:lineRule="auto"/>
        <w:jc w:val="both"/>
        <w:rPr>
          <w:rFonts w:ascii="Times New Roman" w:hAnsi="Times New Roman" w:cs="Times New Roman"/>
          <w:sz w:val="24"/>
          <w:szCs w:val="24"/>
          <w:u w:val="single"/>
        </w:rPr>
      </w:pPr>
    </w:p>
    <w:p w:rsidR="00EE5F29" w:rsidRPr="00F37160" w:rsidRDefault="00EE5F29"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Baumgart, F</w:t>
      </w:r>
      <w:r w:rsidR="00C47692" w:rsidRPr="00F37160">
        <w:rPr>
          <w:rFonts w:ascii="Times New Roman" w:eastAsia="Arial" w:hAnsi="Times New Roman" w:cs="Times New Roman"/>
          <w:sz w:val="24"/>
          <w:szCs w:val="24"/>
        </w:rPr>
        <w:t>.</w:t>
      </w:r>
      <w:r w:rsidRPr="00F37160">
        <w:rPr>
          <w:rFonts w:ascii="Times New Roman" w:eastAsia="Arial" w:hAnsi="Times New Roman" w:cs="Times New Roman"/>
          <w:sz w:val="24"/>
          <w:szCs w:val="24"/>
        </w:rPr>
        <w:t xml:space="preserve"> (2008): Theorien der Sozialisation. UTB, Stuttgart</w:t>
      </w:r>
    </w:p>
    <w:p w:rsidR="00EE5F29" w:rsidRPr="00F37160" w:rsidRDefault="00C47692"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 xml:space="preserve">Garz, D. </w:t>
      </w:r>
      <w:r w:rsidR="00EE5F29" w:rsidRPr="00F37160">
        <w:rPr>
          <w:rFonts w:ascii="Times New Roman" w:eastAsia="Arial" w:hAnsi="Times New Roman" w:cs="Times New Roman"/>
          <w:sz w:val="24"/>
          <w:szCs w:val="24"/>
        </w:rPr>
        <w:t>(2008): Sozialpsychologische Entwicklungstheorien: Von Mead, Piaget und Kohlberg bis zur Gegenwart. VS-Verlag, Wiesbaden</w:t>
      </w:r>
    </w:p>
    <w:p w:rsidR="00EE5F29" w:rsidRPr="00F37160" w:rsidRDefault="00EE5F29"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Köbel, N</w:t>
      </w:r>
      <w:r w:rsidR="00C47692" w:rsidRPr="00F37160">
        <w:rPr>
          <w:rFonts w:ascii="Times New Roman" w:eastAsia="Arial" w:hAnsi="Times New Roman" w:cs="Times New Roman"/>
          <w:sz w:val="24"/>
          <w:szCs w:val="24"/>
        </w:rPr>
        <w:t>.</w:t>
      </w:r>
      <w:r w:rsidRPr="00F37160">
        <w:rPr>
          <w:rFonts w:ascii="Times New Roman" w:eastAsia="Arial" w:hAnsi="Times New Roman" w:cs="Times New Roman"/>
          <w:sz w:val="24"/>
          <w:szCs w:val="24"/>
        </w:rPr>
        <w:t xml:space="preserve"> (2018): Identität, Werte, Weltdeutung. Weinheim, Beltz</w:t>
      </w:r>
    </w:p>
    <w:p w:rsidR="00EE5F29" w:rsidRPr="00F37160" w:rsidRDefault="00EE5F29"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Mead, G.H. (1973): Geist, Identität, Gesellschaft. Suhrkamp, Frankfurt</w:t>
      </w:r>
    </w:p>
    <w:p w:rsidR="00EE5F29" w:rsidRPr="00F37160" w:rsidRDefault="00EE5F29"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Neumann, K. (1983): Der Beginn der Kommunikation zwischen Mutter und Kind. Strukturanalyse der Mutter-Kind-Interaktion. Klinkhardt, Bad Heilbrunn</w:t>
      </w:r>
    </w:p>
    <w:p w:rsidR="00EE5F29" w:rsidRPr="00F37160" w:rsidRDefault="00EE5F29" w:rsidP="00F37160">
      <w:pPr>
        <w:pStyle w:val="KeinLeerraum"/>
        <w:spacing w:line="360" w:lineRule="auto"/>
        <w:jc w:val="both"/>
        <w:rPr>
          <w:rFonts w:ascii="Times New Roman" w:eastAsia="Arial" w:hAnsi="Times New Roman" w:cs="Times New Roman"/>
          <w:sz w:val="24"/>
          <w:szCs w:val="24"/>
        </w:rPr>
      </w:pPr>
      <w:r w:rsidRPr="00F37160">
        <w:rPr>
          <w:rFonts w:ascii="Times New Roman" w:eastAsia="Arial" w:hAnsi="Times New Roman" w:cs="Times New Roman"/>
          <w:sz w:val="24"/>
          <w:szCs w:val="24"/>
        </w:rPr>
        <w:t>Stern, D. (2000): Mutter und Kind – Die erste Beziehung. Klett-Cotta, Stuttgart</w:t>
      </w:r>
    </w:p>
    <w:p w:rsidR="003C5F26" w:rsidRPr="00F37160" w:rsidRDefault="003C5F26" w:rsidP="00F37160">
      <w:pPr>
        <w:pStyle w:val="KeinLeerraum"/>
        <w:spacing w:line="360" w:lineRule="auto"/>
        <w:jc w:val="both"/>
        <w:rPr>
          <w:rFonts w:ascii="Times New Roman" w:eastAsia="Arial" w:hAnsi="Times New Roman" w:cs="Times New Roman"/>
          <w:sz w:val="24"/>
          <w:szCs w:val="24"/>
        </w:rPr>
      </w:pPr>
    </w:p>
    <w:p w:rsidR="003C5F26" w:rsidRPr="00F37160" w:rsidRDefault="003C5F26" w:rsidP="00F37160">
      <w:pPr>
        <w:pStyle w:val="KeinLeerraum"/>
        <w:spacing w:line="360" w:lineRule="auto"/>
        <w:jc w:val="both"/>
        <w:rPr>
          <w:rFonts w:ascii="Times New Roman" w:eastAsia="Arial" w:hAnsi="Times New Roman" w:cs="Times New Roman"/>
          <w:sz w:val="24"/>
          <w:szCs w:val="24"/>
        </w:rPr>
      </w:pPr>
    </w:p>
    <w:sectPr w:rsidR="003C5F26" w:rsidRPr="00F37160" w:rsidSect="004B7F4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lowerLetter"/>
      <w:lvlText w:val="%1)"/>
      <w:lvlJc w:val="left"/>
      <w:pPr>
        <w:tabs>
          <w:tab w:val="num" w:pos="720"/>
        </w:tabs>
        <w:ind w:left="720" w:hanging="360"/>
      </w:pPr>
    </w:lvl>
  </w:abstractNum>
  <w:abstractNum w:abstractNumId="1">
    <w:nsid w:val="01333885"/>
    <w:multiLevelType w:val="hybridMultilevel"/>
    <w:tmpl w:val="E75E89B8"/>
    <w:lvl w:ilvl="0" w:tplc="539C1EC6">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0E452A56"/>
    <w:multiLevelType w:val="hybridMultilevel"/>
    <w:tmpl w:val="AFAE55DC"/>
    <w:lvl w:ilvl="0" w:tplc="539C1EC6">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0EB97D93"/>
    <w:multiLevelType w:val="hybridMultilevel"/>
    <w:tmpl w:val="9BCC69CC"/>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2C1966B0"/>
    <w:multiLevelType w:val="hybridMultilevel"/>
    <w:tmpl w:val="774E5FFA"/>
    <w:lvl w:ilvl="0" w:tplc="539C1EC6">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654D06A4"/>
    <w:multiLevelType w:val="hybridMultilevel"/>
    <w:tmpl w:val="C93E04B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66482340"/>
    <w:multiLevelType w:val="hybridMultilevel"/>
    <w:tmpl w:val="034E37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0B4336"/>
    <w:rsid w:val="000B4336"/>
    <w:rsid w:val="003C5F26"/>
    <w:rsid w:val="004A62C5"/>
    <w:rsid w:val="004B7F41"/>
    <w:rsid w:val="00503DF5"/>
    <w:rsid w:val="00561F67"/>
    <w:rsid w:val="00913E16"/>
    <w:rsid w:val="00B00A68"/>
    <w:rsid w:val="00C47692"/>
    <w:rsid w:val="00C64E78"/>
    <w:rsid w:val="00CE2F45"/>
    <w:rsid w:val="00D82EF2"/>
    <w:rsid w:val="00EE5F29"/>
    <w:rsid w:val="00F3716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7F4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no-fv">
    <w:name w:val="kno-fv"/>
    <w:basedOn w:val="Absatz-Standardschriftart"/>
    <w:rsid w:val="000B4336"/>
  </w:style>
  <w:style w:type="paragraph" w:customStyle="1" w:styleId="Textkrper-Einzug21">
    <w:name w:val="Textkörper-Einzug 21"/>
    <w:basedOn w:val="Standard"/>
    <w:rsid w:val="00C64E78"/>
    <w:pPr>
      <w:spacing w:after="0" w:line="360" w:lineRule="auto"/>
      <w:ind w:left="357"/>
    </w:pPr>
    <w:rPr>
      <w:rFonts w:ascii="Times New Roman" w:eastAsia="Times New Roman" w:hAnsi="Times New Roman" w:cs="Times New Roman"/>
      <w:sz w:val="24"/>
      <w:szCs w:val="24"/>
      <w:lang w:eastAsia="ar-SA"/>
    </w:rPr>
  </w:style>
  <w:style w:type="paragraph" w:styleId="KeinLeerraum">
    <w:name w:val="No Spacing"/>
    <w:uiPriority w:val="1"/>
    <w:qFormat/>
    <w:rsid w:val="00C47692"/>
    <w:pPr>
      <w:spacing w:after="0" w:line="240" w:lineRule="auto"/>
    </w:pPr>
  </w:style>
</w:styles>
</file>

<file path=word/webSettings.xml><?xml version="1.0" encoding="utf-8"?>
<w:webSettings xmlns:r="http://schemas.openxmlformats.org/officeDocument/2006/relationships" xmlns:w="http://schemas.openxmlformats.org/wordprocessingml/2006/main">
  <w:divs>
    <w:div w:id="83114643">
      <w:bodyDiv w:val="1"/>
      <w:marLeft w:val="0"/>
      <w:marRight w:val="0"/>
      <w:marTop w:val="0"/>
      <w:marBottom w:val="0"/>
      <w:divBdr>
        <w:top w:val="none" w:sz="0" w:space="0" w:color="auto"/>
        <w:left w:val="none" w:sz="0" w:space="0" w:color="auto"/>
        <w:bottom w:val="none" w:sz="0" w:space="0" w:color="auto"/>
        <w:right w:val="none" w:sz="0" w:space="0" w:color="auto"/>
      </w:divBdr>
    </w:div>
    <w:div w:id="623730039">
      <w:bodyDiv w:val="1"/>
      <w:marLeft w:val="0"/>
      <w:marRight w:val="0"/>
      <w:marTop w:val="0"/>
      <w:marBottom w:val="0"/>
      <w:divBdr>
        <w:top w:val="none" w:sz="0" w:space="0" w:color="auto"/>
        <w:left w:val="none" w:sz="0" w:space="0" w:color="auto"/>
        <w:bottom w:val="none" w:sz="0" w:space="0" w:color="auto"/>
        <w:right w:val="none" w:sz="0" w:space="0" w:color="auto"/>
      </w:divBdr>
      <w:divsChild>
        <w:div w:id="2008625965">
          <w:marLeft w:val="446"/>
          <w:marRight w:val="0"/>
          <w:marTop w:val="0"/>
          <w:marBottom w:val="0"/>
          <w:divBdr>
            <w:top w:val="none" w:sz="0" w:space="0" w:color="auto"/>
            <w:left w:val="none" w:sz="0" w:space="0" w:color="auto"/>
            <w:bottom w:val="none" w:sz="0" w:space="0" w:color="auto"/>
            <w:right w:val="none" w:sz="0" w:space="0" w:color="auto"/>
          </w:divBdr>
        </w:div>
        <w:div w:id="1616718988">
          <w:marLeft w:val="446"/>
          <w:marRight w:val="0"/>
          <w:marTop w:val="0"/>
          <w:marBottom w:val="0"/>
          <w:divBdr>
            <w:top w:val="none" w:sz="0" w:space="0" w:color="auto"/>
            <w:left w:val="none" w:sz="0" w:space="0" w:color="auto"/>
            <w:bottom w:val="none" w:sz="0" w:space="0" w:color="auto"/>
            <w:right w:val="none" w:sz="0" w:space="0" w:color="auto"/>
          </w:divBdr>
        </w:div>
        <w:div w:id="101267591">
          <w:marLeft w:val="446"/>
          <w:marRight w:val="0"/>
          <w:marTop w:val="0"/>
          <w:marBottom w:val="0"/>
          <w:divBdr>
            <w:top w:val="none" w:sz="0" w:space="0" w:color="auto"/>
            <w:left w:val="none" w:sz="0" w:space="0" w:color="auto"/>
            <w:bottom w:val="none" w:sz="0" w:space="0" w:color="auto"/>
            <w:right w:val="none" w:sz="0" w:space="0" w:color="auto"/>
          </w:divBdr>
        </w:div>
        <w:div w:id="702243012">
          <w:marLeft w:val="446"/>
          <w:marRight w:val="0"/>
          <w:marTop w:val="0"/>
          <w:marBottom w:val="0"/>
          <w:divBdr>
            <w:top w:val="none" w:sz="0" w:space="0" w:color="auto"/>
            <w:left w:val="none" w:sz="0" w:space="0" w:color="auto"/>
            <w:bottom w:val="none" w:sz="0" w:space="0" w:color="auto"/>
            <w:right w:val="none" w:sz="0" w:space="0" w:color="auto"/>
          </w:divBdr>
        </w:div>
        <w:div w:id="1923369391">
          <w:marLeft w:val="446"/>
          <w:marRight w:val="0"/>
          <w:marTop w:val="0"/>
          <w:marBottom w:val="0"/>
          <w:divBdr>
            <w:top w:val="none" w:sz="0" w:space="0" w:color="auto"/>
            <w:left w:val="none" w:sz="0" w:space="0" w:color="auto"/>
            <w:bottom w:val="none" w:sz="0" w:space="0" w:color="auto"/>
            <w:right w:val="none" w:sz="0" w:space="0" w:color="auto"/>
          </w:divBdr>
        </w:div>
        <w:div w:id="1353727595">
          <w:marLeft w:val="446"/>
          <w:marRight w:val="0"/>
          <w:marTop w:val="0"/>
          <w:marBottom w:val="0"/>
          <w:divBdr>
            <w:top w:val="none" w:sz="0" w:space="0" w:color="auto"/>
            <w:left w:val="none" w:sz="0" w:space="0" w:color="auto"/>
            <w:bottom w:val="none" w:sz="0" w:space="0" w:color="auto"/>
            <w:right w:val="none" w:sz="0" w:space="0" w:color="auto"/>
          </w:divBdr>
        </w:div>
      </w:divsChild>
    </w:div>
    <w:div w:id="132219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3459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2018-07-26T23:05:00Z</dcterms:created>
  <dcterms:modified xsi:type="dcterms:W3CDTF">2018-07-27T20:53:00Z</dcterms:modified>
</cp:coreProperties>
</file>